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ADE6A">
      <w:pPr>
        <w:numPr>
          <w:ilvl w:val="0"/>
          <w:numId w:val="0"/>
        </w:numPr>
        <w:jc w:val="left"/>
        <w:rPr>
          <w:rFonts w:hint="eastAsia" w:ascii="黑体" w:hAnsi="黑体" w:eastAsia="黑体" w:cs="黑体"/>
          <w:b w:val="0"/>
          <w:bCs/>
          <w:color w:val="000000" w:themeColor="text1"/>
          <w:sz w:val="28"/>
          <w:szCs w:val="28"/>
          <w:lang w:val="en-US" w:eastAsia="zh-CN"/>
          <w14:textFill>
            <w14:solidFill>
              <w14:schemeClr w14:val="tx1"/>
            </w14:solidFill>
          </w14:textFill>
        </w:rPr>
      </w:pPr>
      <w:r>
        <w:rPr>
          <w:rFonts w:hint="eastAsia" w:ascii="黑体" w:hAnsi="黑体" w:eastAsia="黑体" w:cs="黑体"/>
          <w:b w:val="0"/>
          <w:bCs/>
          <w:color w:val="000000" w:themeColor="text1"/>
          <w:sz w:val="28"/>
          <w:szCs w:val="28"/>
          <w14:textFill>
            <w14:solidFill>
              <w14:schemeClr w14:val="tx1"/>
            </w14:solidFill>
          </w14:textFill>
        </w:rPr>
        <w:t>附件</w:t>
      </w:r>
      <w:r>
        <w:rPr>
          <w:rFonts w:hint="eastAsia" w:ascii="黑体" w:hAnsi="黑体" w:eastAsia="黑体" w:cs="黑体"/>
          <w:b w:val="0"/>
          <w:bCs/>
          <w:color w:val="000000" w:themeColor="text1"/>
          <w:sz w:val="28"/>
          <w:szCs w:val="28"/>
          <w:lang w:val="en-US" w:eastAsia="zh-CN"/>
          <w14:textFill>
            <w14:solidFill>
              <w14:schemeClr w14:val="tx1"/>
            </w14:solidFill>
          </w14:textFill>
        </w:rPr>
        <w:t>3</w:t>
      </w:r>
    </w:p>
    <w:p w14:paraId="55D81DF5">
      <w:pPr>
        <w:keepNext w:val="0"/>
        <w:keepLines w:val="0"/>
        <w:pageBreakBefore w:val="0"/>
        <w:widowControl w:val="0"/>
        <w:kinsoku/>
        <w:wordWrap/>
        <w:overflowPunct/>
        <w:topLinePunct w:val="0"/>
        <w:autoSpaceDE/>
        <w:autoSpaceDN/>
        <w:bidi w:val="0"/>
        <w:adjustRightInd/>
        <w:snapToGrid/>
        <w:spacing w:line="312" w:lineRule="auto"/>
        <w:ind w:left="1009" w:leftChars="0" w:right="-397" w:rightChars="-124" w:hanging="1009" w:hangingChars="284"/>
        <w:textAlignment w:val="auto"/>
        <w:outlineLvl w:val="0"/>
        <w:rPr>
          <w:rFonts w:hint="eastAsia" w:ascii="黑体" w:hAnsi="黑体" w:eastAsia="黑体" w:cs="黑体"/>
          <w:sz w:val="36"/>
          <w:szCs w:val="36"/>
        </w:rPr>
      </w:pPr>
      <w:bookmarkStart w:id="2" w:name="_GoBack"/>
      <w:r>
        <w:rPr>
          <w:rFonts w:hint="eastAsia" w:ascii="黑体" w:hAnsi="黑体" w:eastAsia="黑体" w:cs="黑体"/>
          <w:b/>
          <w:bCs/>
          <w:spacing w:val="-3"/>
          <w:sz w:val="36"/>
          <w:szCs w:val="36"/>
        </w:rPr>
        <w:t>“云山珠水</w:t>
      </w:r>
      <w:r>
        <w:rPr>
          <w:rFonts w:hint="eastAsia" w:ascii="黑体" w:hAnsi="黑体" w:eastAsia="黑体" w:cs="黑体"/>
          <w:b/>
          <w:bCs/>
          <w:spacing w:val="-54"/>
          <w:sz w:val="36"/>
          <w:szCs w:val="36"/>
        </w:rPr>
        <w:t xml:space="preserve"> </w:t>
      </w:r>
      <w:r>
        <w:rPr>
          <w:rFonts w:hint="eastAsia" w:ascii="黑体" w:hAnsi="黑体" w:eastAsia="黑体" w:cs="黑体"/>
          <w:b/>
          <w:bCs/>
          <w:spacing w:val="-3"/>
          <w:sz w:val="36"/>
          <w:szCs w:val="36"/>
        </w:rPr>
        <w:t>，食领未来”产教融合创新共同体简介</w:t>
      </w:r>
    </w:p>
    <w:bookmarkEnd w:id="2"/>
    <w:p w14:paraId="5DF1D0D0">
      <w:pPr>
        <w:pStyle w:val="2"/>
        <w:keepNext w:val="0"/>
        <w:keepLines w:val="0"/>
        <w:pageBreakBefore w:val="0"/>
        <w:widowControl w:val="0"/>
        <w:tabs>
          <w:tab w:val="left" w:pos="0"/>
        </w:tabs>
        <w:kinsoku/>
        <w:wordWrap/>
        <w:overflowPunct/>
        <w:topLinePunct w:val="0"/>
        <w:autoSpaceDE/>
        <w:autoSpaceDN/>
        <w:bidi w:val="0"/>
        <w:adjustRightInd/>
        <w:snapToGrid/>
        <w:spacing w:before="157" w:beforeLines="50" w:after="157" w:afterLines="50" w:line="300" w:lineRule="auto"/>
        <w:ind w:left="0" w:leftChars="0" w:right="-397" w:rightChars="-124" w:firstLine="0" w:firstLineChars="0"/>
        <w:textAlignment w:val="auto"/>
        <w:outlineLvl w:val="1"/>
        <w:rPr>
          <w:rFonts w:hint="eastAsia" w:ascii="宋体" w:hAnsi="宋体" w:eastAsia="宋体" w:cs="宋体"/>
          <w:sz w:val="24"/>
          <w:szCs w:val="24"/>
        </w:rPr>
      </w:pPr>
      <w:r>
        <w:rPr>
          <w:rFonts w:hint="eastAsia" w:ascii="宋体" w:hAnsi="宋体" w:eastAsia="宋体" w:cs="宋体"/>
          <w:b/>
          <w:bCs/>
          <w:spacing w:val="5"/>
          <w:sz w:val="24"/>
          <w:szCs w:val="24"/>
        </w:rPr>
        <w:t>一、成立背景</w:t>
      </w:r>
    </w:p>
    <w:p w14:paraId="43B09BAE">
      <w:pPr>
        <w:pStyle w:val="2"/>
        <w:keepNext w:val="0"/>
        <w:keepLines w:val="0"/>
        <w:pageBreakBefore w:val="0"/>
        <w:widowControl w:val="0"/>
        <w:tabs>
          <w:tab w:val="left" w:pos="0"/>
        </w:tabs>
        <w:kinsoku/>
        <w:wordWrap/>
        <w:overflowPunct/>
        <w:topLinePunct w:val="0"/>
        <w:autoSpaceDE/>
        <w:autoSpaceDN/>
        <w:bidi w:val="0"/>
        <w:adjustRightInd/>
        <w:snapToGrid/>
        <w:spacing w:line="300" w:lineRule="auto"/>
        <w:ind w:left="0" w:leftChars="0" w:right="-397" w:rightChars="-124" w:firstLine="0" w:firstLineChars="0"/>
        <w:jc w:val="both"/>
        <w:textAlignment w:val="auto"/>
        <w:rPr>
          <w:rFonts w:hint="eastAsia" w:ascii="宋体" w:hAnsi="宋体" w:eastAsia="宋体" w:cs="宋体"/>
          <w:sz w:val="24"/>
          <w:szCs w:val="24"/>
        </w:rPr>
      </w:pPr>
      <w:r>
        <w:rPr>
          <w:rFonts w:hint="eastAsia" w:cs="宋体"/>
          <w:spacing w:val="6"/>
          <w:sz w:val="24"/>
          <w:szCs w:val="24"/>
          <w:lang w:val="en-US" w:eastAsia="zh-CN"/>
        </w:rPr>
        <w:tab/>
      </w:r>
      <w:r>
        <w:rPr>
          <w:rFonts w:hint="eastAsia" w:ascii="宋体" w:hAnsi="宋体" w:eastAsia="宋体" w:cs="宋体"/>
          <w:spacing w:val="6"/>
          <w:sz w:val="24"/>
          <w:szCs w:val="24"/>
        </w:rPr>
        <w:t>为深入学习贯彻习近平新时代中国特色社会主义思想，落实《“健康中国2030”规划纲要》和《教育强国建设规划纲要(</w:t>
      </w:r>
      <w:r>
        <w:rPr>
          <w:rFonts w:hint="eastAsia" w:ascii="宋体" w:hAnsi="宋体" w:eastAsia="宋体" w:cs="宋体"/>
          <w:spacing w:val="5"/>
          <w:sz w:val="24"/>
          <w:szCs w:val="24"/>
        </w:rPr>
        <w:t>2024-2035年)》精神，积极推</w:t>
      </w:r>
      <w:r>
        <w:rPr>
          <w:rFonts w:hint="eastAsia" w:ascii="宋体" w:hAnsi="宋体" w:eastAsia="宋体" w:cs="宋体"/>
          <w:spacing w:val="11"/>
          <w:sz w:val="24"/>
          <w:szCs w:val="24"/>
        </w:rPr>
        <w:t>进国家关于深化产教融合、校企合作的重要部署，推动大院、大所、大</w:t>
      </w:r>
      <w:r>
        <w:rPr>
          <w:rFonts w:hint="eastAsia" w:ascii="宋体" w:hAnsi="宋体" w:eastAsia="宋体" w:cs="宋体"/>
          <w:spacing w:val="10"/>
          <w:sz w:val="24"/>
          <w:szCs w:val="24"/>
        </w:rPr>
        <w:t>企，</w:t>
      </w:r>
      <w:r>
        <w:rPr>
          <w:rFonts w:hint="eastAsia" w:ascii="宋体" w:hAnsi="宋体" w:eastAsia="宋体" w:cs="宋体"/>
          <w:spacing w:val="11"/>
          <w:sz w:val="24"/>
          <w:szCs w:val="24"/>
        </w:rPr>
        <w:t>开展产业链、学科链、培养链融合的科研服务和人</w:t>
      </w:r>
      <w:r>
        <w:rPr>
          <w:rFonts w:hint="eastAsia" w:ascii="宋体" w:hAnsi="宋体" w:eastAsia="宋体" w:cs="宋体"/>
          <w:spacing w:val="10"/>
          <w:sz w:val="24"/>
          <w:szCs w:val="24"/>
        </w:rPr>
        <w:t>才自主培养体系建设，促</w:t>
      </w:r>
      <w:r>
        <w:rPr>
          <w:rFonts w:hint="eastAsia" w:ascii="宋体" w:hAnsi="宋体" w:eastAsia="宋体" w:cs="宋体"/>
          <w:spacing w:val="11"/>
          <w:sz w:val="24"/>
          <w:szCs w:val="24"/>
        </w:rPr>
        <w:t>进高校、企业、科研院所的深度合作与协同创新，</w:t>
      </w:r>
      <w:r>
        <w:rPr>
          <w:rFonts w:hint="eastAsia" w:ascii="宋体" w:hAnsi="宋体" w:eastAsia="宋体" w:cs="宋体"/>
          <w:spacing w:val="10"/>
          <w:sz w:val="24"/>
          <w:szCs w:val="24"/>
        </w:rPr>
        <w:t>探索新时代行业特色的校企合作模式，引导食品行业秉持“大食物观</w:t>
      </w:r>
      <w:r>
        <w:rPr>
          <w:rFonts w:hint="eastAsia" w:ascii="宋体" w:hAnsi="宋体" w:eastAsia="宋体" w:cs="宋体"/>
          <w:spacing w:val="-97"/>
          <w:sz w:val="24"/>
          <w:szCs w:val="24"/>
        </w:rPr>
        <w:t xml:space="preserve"> </w:t>
      </w:r>
      <w:r>
        <w:rPr>
          <w:rFonts w:hint="eastAsia" w:ascii="宋体" w:hAnsi="宋体" w:eastAsia="宋体" w:cs="宋体"/>
          <w:spacing w:val="10"/>
          <w:sz w:val="24"/>
          <w:szCs w:val="24"/>
        </w:rPr>
        <w:t>”，坚持</w:t>
      </w:r>
      <w:r>
        <w:rPr>
          <w:rFonts w:hint="eastAsia" w:ascii="宋体" w:hAnsi="宋体" w:eastAsia="宋体" w:cs="宋体"/>
          <w:spacing w:val="9"/>
          <w:sz w:val="24"/>
          <w:szCs w:val="24"/>
        </w:rPr>
        <w:t>为耕者谋利，为食者造福，为实现“安全、健康、绿色</w:t>
      </w:r>
      <w:r>
        <w:rPr>
          <w:rFonts w:hint="eastAsia" w:ascii="宋体" w:hAnsi="宋体" w:eastAsia="宋体" w:cs="宋体"/>
          <w:spacing w:val="-75"/>
          <w:sz w:val="24"/>
          <w:szCs w:val="24"/>
        </w:rPr>
        <w:t xml:space="preserve"> </w:t>
      </w:r>
      <w:r>
        <w:rPr>
          <w:rFonts w:hint="eastAsia" w:ascii="宋体" w:hAnsi="宋体" w:eastAsia="宋体" w:cs="宋体"/>
          <w:spacing w:val="9"/>
          <w:sz w:val="24"/>
          <w:szCs w:val="24"/>
        </w:rPr>
        <w:t>”的食品行业美好愿景和中华民族伟大复兴</w:t>
      </w:r>
      <w:r>
        <w:rPr>
          <w:rFonts w:hint="eastAsia" w:ascii="宋体" w:hAnsi="宋体" w:eastAsia="宋体" w:cs="宋体"/>
          <w:spacing w:val="6"/>
          <w:sz w:val="24"/>
          <w:szCs w:val="24"/>
        </w:rPr>
        <w:t>努力奋斗。</w:t>
      </w:r>
    </w:p>
    <w:p w14:paraId="7AAF27C1">
      <w:pPr>
        <w:pStyle w:val="2"/>
        <w:keepNext w:val="0"/>
        <w:keepLines w:val="0"/>
        <w:pageBreakBefore w:val="0"/>
        <w:widowControl w:val="0"/>
        <w:tabs>
          <w:tab w:val="left" w:pos="0"/>
        </w:tabs>
        <w:kinsoku/>
        <w:wordWrap/>
        <w:overflowPunct/>
        <w:topLinePunct w:val="0"/>
        <w:autoSpaceDE/>
        <w:autoSpaceDN/>
        <w:bidi w:val="0"/>
        <w:adjustRightInd/>
        <w:snapToGrid/>
        <w:spacing w:before="10" w:line="300" w:lineRule="auto"/>
        <w:ind w:left="-1" w:leftChars="0" w:right="-397" w:rightChars="-124" w:firstLine="0" w:firstLineChars="0"/>
        <w:jc w:val="both"/>
        <w:textAlignment w:val="auto"/>
        <w:rPr>
          <w:rFonts w:hint="eastAsia" w:cs="宋体"/>
          <w:spacing w:val="4"/>
          <w:sz w:val="24"/>
          <w:szCs w:val="24"/>
          <w:lang w:eastAsia="zh-CN"/>
        </w:rPr>
      </w:pPr>
      <w:r>
        <w:rPr>
          <w:rFonts w:hint="eastAsia" w:cs="宋体"/>
          <w:spacing w:val="10"/>
          <w:sz w:val="24"/>
          <w:szCs w:val="24"/>
          <w:lang w:val="en-US" w:eastAsia="zh-CN"/>
        </w:rPr>
        <w:tab/>
      </w:r>
      <w:r>
        <w:rPr>
          <w:rFonts w:hint="eastAsia" w:cs="宋体"/>
          <w:spacing w:val="10"/>
          <w:sz w:val="24"/>
          <w:szCs w:val="24"/>
          <w:lang w:val="en-US" w:eastAsia="zh-CN"/>
        </w:rPr>
        <w:tab/>
      </w:r>
      <w:r>
        <w:rPr>
          <w:rFonts w:hint="eastAsia" w:ascii="宋体" w:hAnsi="宋体" w:eastAsia="宋体" w:cs="宋体"/>
          <w:spacing w:val="10"/>
          <w:sz w:val="24"/>
          <w:szCs w:val="24"/>
        </w:rPr>
        <w:t>“云山珠水，食领未来</w:t>
      </w:r>
      <w:r>
        <w:rPr>
          <w:rFonts w:hint="eastAsia" w:ascii="宋体" w:hAnsi="宋体" w:eastAsia="宋体" w:cs="宋体"/>
          <w:spacing w:val="-91"/>
          <w:sz w:val="24"/>
          <w:szCs w:val="24"/>
        </w:rPr>
        <w:t xml:space="preserve"> </w:t>
      </w:r>
      <w:r>
        <w:rPr>
          <w:rFonts w:hint="eastAsia" w:ascii="宋体" w:hAnsi="宋体" w:eastAsia="宋体" w:cs="宋体"/>
          <w:spacing w:val="10"/>
          <w:sz w:val="24"/>
          <w:szCs w:val="24"/>
        </w:rPr>
        <w:t>”产教融合创新共同体是广东省</w:t>
      </w:r>
      <w:r>
        <w:rPr>
          <w:rFonts w:hint="eastAsia" w:ascii="宋体" w:hAnsi="宋体" w:eastAsia="宋体" w:cs="宋体"/>
          <w:spacing w:val="9"/>
          <w:sz w:val="24"/>
          <w:szCs w:val="24"/>
        </w:rPr>
        <w:t>食品学会与华南</w:t>
      </w:r>
      <w:r>
        <w:rPr>
          <w:rFonts w:hint="eastAsia" w:ascii="宋体" w:hAnsi="宋体" w:eastAsia="宋体" w:cs="宋体"/>
          <w:spacing w:val="5"/>
          <w:sz w:val="24"/>
          <w:szCs w:val="24"/>
        </w:rPr>
        <w:t>理工大学食品科学与工程学院联合发起成立，旨在汇聚政</w:t>
      </w:r>
      <w:r>
        <w:rPr>
          <w:rFonts w:hint="eastAsia" w:ascii="宋体" w:hAnsi="宋体" w:eastAsia="宋体" w:cs="宋体"/>
          <w:spacing w:val="4"/>
          <w:sz w:val="24"/>
          <w:szCs w:val="24"/>
        </w:rPr>
        <w:t>产学研用创新要素，</w:t>
      </w:r>
      <w:r>
        <w:rPr>
          <w:rFonts w:hint="eastAsia" w:ascii="宋体" w:hAnsi="宋体" w:eastAsia="宋体" w:cs="宋体"/>
          <w:spacing w:val="10"/>
          <w:sz w:val="24"/>
          <w:szCs w:val="24"/>
        </w:rPr>
        <w:t>构建开放协同新生态，与企业同行，在关键核心技术攻关、拔尖创新人才培养、成果高效转化应用等领域开展全方位、深层次、实质性合作，共同探索解决方案，共享发展机遇，为保障国家粮食安全、提升国民健康水平、推动</w:t>
      </w:r>
      <w:r>
        <w:rPr>
          <w:rFonts w:hint="eastAsia" w:ascii="宋体" w:hAnsi="宋体" w:eastAsia="宋体" w:cs="宋体"/>
          <w:spacing w:val="2"/>
          <w:sz w:val="24"/>
          <w:szCs w:val="24"/>
        </w:rPr>
        <w:t>食品工业向高端化智能化绿色化转型升级贡献“华工智慧</w:t>
      </w:r>
      <w:r>
        <w:rPr>
          <w:rFonts w:hint="eastAsia" w:ascii="宋体" w:hAnsi="宋体" w:eastAsia="宋体" w:cs="宋体"/>
          <w:spacing w:val="-81"/>
          <w:sz w:val="24"/>
          <w:szCs w:val="24"/>
        </w:rPr>
        <w:t xml:space="preserve"> </w:t>
      </w:r>
      <w:r>
        <w:rPr>
          <w:rFonts w:hint="eastAsia" w:ascii="宋体" w:hAnsi="宋体" w:eastAsia="宋体" w:cs="宋体"/>
          <w:spacing w:val="2"/>
          <w:sz w:val="24"/>
          <w:szCs w:val="24"/>
        </w:rPr>
        <w:t>”与“产业力量</w:t>
      </w:r>
      <w:r>
        <w:rPr>
          <w:rFonts w:hint="eastAsia" w:ascii="宋体" w:hAnsi="宋体" w:eastAsia="宋体" w:cs="宋体"/>
          <w:spacing w:val="-96"/>
          <w:sz w:val="24"/>
          <w:szCs w:val="24"/>
        </w:rPr>
        <w:t xml:space="preserve"> </w:t>
      </w:r>
      <w:r>
        <w:rPr>
          <w:rFonts w:hint="eastAsia" w:ascii="宋体" w:hAnsi="宋体" w:eastAsia="宋体" w:cs="宋体"/>
          <w:spacing w:val="2"/>
          <w:sz w:val="24"/>
          <w:szCs w:val="24"/>
        </w:rPr>
        <w:t>”，</w:t>
      </w:r>
      <w:r>
        <w:rPr>
          <w:rFonts w:hint="eastAsia" w:ascii="宋体" w:hAnsi="宋体" w:eastAsia="宋体" w:cs="宋体"/>
          <w:spacing w:val="10"/>
          <w:sz w:val="24"/>
          <w:szCs w:val="24"/>
        </w:rPr>
        <w:t>真正实现资源共享、优势互补、互惠共赢、携手开创中国食品产业更加美好</w:t>
      </w:r>
      <w:r>
        <w:rPr>
          <w:rFonts w:hint="eastAsia" w:ascii="宋体" w:hAnsi="宋体" w:eastAsia="宋体" w:cs="宋体"/>
          <w:spacing w:val="4"/>
          <w:sz w:val="24"/>
          <w:szCs w:val="24"/>
        </w:rPr>
        <w:t>的未来</w:t>
      </w:r>
      <w:r>
        <w:rPr>
          <w:rFonts w:hint="eastAsia" w:cs="宋体"/>
          <w:spacing w:val="4"/>
          <w:sz w:val="24"/>
          <w:szCs w:val="24"/>
          <w:lang w:eastAsia="zh-CN"/>
        </w:rPr>
        <w:t>。</w:t>
      </w:r>
    </w:p>
    <w:p w14:paraId="3C93AD8C">
      <w:pPr>
        <w:pStyle w:val="2"/>
        <w:keepNext w:val="0"/>
        <w:keepLines w:val="0"/>
        <w:pageBreakBefore w:val="0"/>
        <w:widowControl w:val="0"/>
        <w:tabs>
          <w:tab w:val="left" w:pos="0"/>
        </w:tabs>
        <w:kinsoku/>
        <w:wordWrap/>
        <w:overflowPunct/>
        <w:topLinePunct w:val="0"/>
        <w:autoSpaceDE/>
        <w:autoSpaceDN/>
        <w:bidi w:val="0"/>
        <w:adjustRightInd/>
        <w:snapToGrid/>
        <w:spacing w:before="157" w:beforeLines="50" w:after="157" w:afterLines="50" w:line="300" w:lineRule="auto"/>
        <w:ind w:left="0" w:leftChars="0" w:right="-397" w:rightChars="-124" w:firstLine="0" w:firstLineChars="0"/>
        <w:textAlignment w:val="auto"/>
        <w:outlineLvl w:val="1"/>
        <w:rPr>
          <w:rFonts w:hint="eastAsia" w:ascii="宋体" w:hAnsi="宋体" w:eastAsia="宋体" w:cs="宋体"/>
          <w:b/>
          <w:bCs/>
          <w:spacing w:val="5"/>
          <w:sz w:val="24"/>
          <w:szCs w:val="24"/>
        </w:rPr>
      </w:pPr>
      <w:r>
        <w:rPr>
          <w:rFonts w:hint="eastAsia" w:ascii="宋体" w:hAnsi="宋体" w:eastAsia="宋体" w:cs="宋体"/>
          <w:b/>
          <w:bCs/>
          <w:spacing w:val="5"/>
          <w:sz w:val="24"/>
          <w:szCs w:val="24"/>
        </w:rPr>
        <w:t>二、组织架构</w:t>
      </w:r>
    </w:p>
    <w:p w14:paraId="3D2F577A">
      <w:pPr>
        <w:pStyle w:val="2"/>
        <w:keepNext w:val="0"/>
        <w:keepLines w:val="0"/>
        <w:pageBreakBefore w:val="0"/>
        <w:widowControl w:val="0"/>
        <w:tabs>
          <w:tab w:val="left" w:pos="0"/>
        </w:tabs>
        <w:kinsoku/>
        <w:wordWrap/>
        <w:overflowPunct/>
        <w:topLinePunct w:val="0"/>
        <w:autoSpaceDE/>
        <w:autoSpaceDN/>
        <w:bidi w:val="0"/>
        <w:adjustRightInd/>
        <w:snapToGrid/>
        <w:spacing w:before="10" w:line="300" w:lineRule="auto"/>
        <w:ind w:left="-1" w:leftChars="0" w:right="-397" w:rightChars="-124" w:firstLine="0" w:firstLineChars="0"/>
        <w:jc w:val="both"/>
        <w:textAlignment w:val="auto"/>
        <w:rPr>
          <w:rFonts w:hint="eastAsia" w:ascii="宋体" w:hAnsi="宋体" w:eastAsia="宋体" w:cs="宋体"/>
          <w:sz w:val="24"/>
          <w:szCs w:val="24"/>
        </w:rPr>
      </w:pPr>
      <w:r>
        <w:rPr>
          <w:rFonts w:hint="eastAsia" w:cs="宋体"/>
          <w:spacing w:val="7"/>
          <w:sz w:val="24"/>
          <w:szCs w:val="24"/>
          <w:lang w:val="en-US" w:eastAsia="zh-CN"/>
        </w:rPr>
        <w:tab/>
      </w:r>
      <w:r>
        <w:rPr>
          <w:rFonts w:hint="eastAsia" w:cs="宋体"/>
          <w:spacing w:val="7"/>
          <w:sz w:val="24"/>
          <w:szCs w:val="24"/>
          <w:lang w:val="en-US" w:eastAsia="zh-CN"/>
        </w:rPr>
        <w:tab/>
      </w:r>
      <w:r>
        <w:rPr>
          <w:rFonts w:hint="eastAsia" w:ascii="宋体" w:hAnsi="宋体" w:eastAsia="宋体" w:cs="宋体"/>
          <w:spacing w:val="7"/>
          <w:sz w:val="24"/>
          <w:szCs w:val="24"/>
        </w:rPr>
        <w:t>共同体是自愿组成、非营利性的合作组织，实行单位成员制。设立理事会</w:t>
      </w:r>
      <w:r>
        <w:rPr>
          <w:rFonts w:hint="eastAsia" w:ascii="宋体" w:hAnsi="宋体" w:eastAsia="宋体" w:cs="宋体"/>
          <w:spacing w:val="11"/>
          <w:sz w:val="24"/>
          <w:szCs w:val="24"/>
        </w:rPr>
        <w:t>为共同体决策机构，负责审定和修改共同体章程；讨论审定共同体工作方针和发展方向；听取审议共同体各项报告；决定共同体成员的加入和除名等重</w:t>
      </w:r>
      <w:r>
        <w:rPr>
          <w:rFonts w:hint="eastAsia" w:ascii="宋体" w:hAnsi="宋体" w:eastAsia="宋体" w:cs="宋体"/>
          <w:spacing w:val="9"/>
          <w:sz w:val="24"/>
          <w:szCs w:val="24"/>
        </w:rPr>
        <w:t>大事项。理事会设理事长单位、副理事长单位和秘书处。</w:t>
      </w:r>
    </w:p>
    <w:p w14:paraId="34955B86">
      <w:pPr>
        <w:pStyle w:val="2"/>
        <w:keepNext w:val="0"/>
        <w:keepLines w:val="0"/>
        <w:pageBreakBefore w:val="0"/>
        <w:widowControl w:val="0"/>
        <w:tabs>
          <w:tab w:val="left" w:pos="0"/>
        </w:tabs>
        <w:kinsoku/>
        <w:wordWrap/>
        <w:overflowPunct/>
        <w:topLinePunct w:val="0"/>
        <w:autoSpaceDE/>
        <w:autoSpaceDN/>
        <w:bidi w:val="0"/>
        <w:adjustRightInd/>
        <w:snapToGrid/>
        <w:spacing w:before="157" w:beforeLines="50" w:line="300" w:lineRule="auto"/>
        <w:ind w:left="0" w:leftChars="0" w:right="-397" w:rightChars="-124" w:firstLine="0" w:firstLineChars="0"/>
        <w:jc w:val="both"/>
        <w:textAlignment w:val="auto"/>
        <w:rPr>
          <w:rFonts w:hint="eastAsia" w:ascii="宋体" w:hAnsi="宋体" w:eastAsia="宋体" w:cs="宋体"/>
          <w:spacing w:val="11"/>
          <w:sz w:val="24"/>
          <w:szCs w:val="24"/>
        </w:rPr>
      </w:pPr>
      <w:r>
        <w:rPr>
          <w:rFonts w:hint="eastAsia" w:ascii="宋体" w:hAnsi="宋体" w:eastAsia="宋体" w:cs="宋体"/>
          <w:b/>
          <w:bCs/>
          <w:spacing w:val="11"/>
          <w:sz w:val="24"/>
          <w:szCs w:val="24"/>
        </w:rPr>
        <w:t>理事长单位</w:t>
      </w:r>
      <w:r>
        <w:rPr>
          <w:rFonts w:hint="eastAsia" w:ascii="宋体" w:hAnsi="宋体" w:eastAsia="宋体" w:cs="宋体"/>
          <w:spacing w:val="11"/>
          <w:sz w:val="24"/>
          <w:szCs w:val="24"/>
        </w:rPr>
        <w:t>：广东省食品学会</w:t>
      </w:r>
    </w:p>
    <w:p w14:paraId="6508F893">
      <w:pPr>
        <w:pStyle w:val="2"/>
        <w:keepNext w:val="0"/>
        <w:keepLines w:val="0"/>
        <w:pageBreakBefore w:val="0"/>
        <w:widowControl w:val="0"/>
        <w:tabs>
          <w:tab w:val="left" w:pos="0"/>
        </w:tabs>
        <w:kinsoku/>
        <w:wordWrap/>
        <w:overflowPunct/>
        <w:topLinePunct w:val="0"/>
        <w:autoSpaceDE/>
        <w:autoSpaceDN/>
        <w:bidi w:val="0"/>
        <w:adjustRightInd/>
        <w:snapToGrid/>
        <w:spacing w:before="10" w:line="300" w:lineRule="auto"/>
        <w:ind w:left="-1" w:leftChars="0" w:right="-397" w:rightChars="-124" w:firstLine="0" w:firstLineChars="0"/>
        <w:jc w:val="both"/>
        <w:textAlignment w:val="auto"/>
        <w:rPr>
          <w:rFonts w:hint="eastAsia" w:ascii="宋体" w:hAnsi="宋体" w:eastAsia="宋体" w:cs="宋体"/>
          <w:spacing w:val="11"/>
          <w:sz w:val="24"/>
          <w:szCs w:val="24"/>
        </w:rPr>
      </w:pPr>
      <w:r>
        <w:rPr>
          <w:rFonts w:hint="eastAsia" w:ascii="宋体" w:hAnsi="宋体" w:eastAsia="宋体" w:cs="宋体"/>
          <w:b/>
          <w:bCs/>
          <w:spacing w:val="11"/>
          <w:sz w:val="24"/>
          <w:szCs w:val="24"/>
        </w:rPr>
        <w:t>副理事长单位：</w:t>
      </w:r>
      <w:r>
        <w:rPr>
          <w:rFonts w:hint="eastAsia" w:ascii="宋体" w:hAnsi="宋体" w:eastAsia="宋体" w:cs="宋体"/>
          <w:spacing w:val="11"/>
          <w:sz w:val="24"/>
          <w:szCs w:val="24"/>
        </w:rPr>
        <w:t>华南理工大学食品科学与工程学院及其他若干单位</w:t>
      </w:r>
    </w:p>
    <w:p w14:paraId="70189326">
      <w:pPr>
        <w:pStyle w:val="2"/>
        <w:keepNext w:val="0"/>
        <w:keepLines w:val="0"/>
        <w:pageBreakBefore w:val="0"/>
        <w:widowControl w:val="0"/>
        <w:tabs>
          <w:tab w:val="left" w:pos="0"/>
        </w:tabs>
        <w:kinsoku/>
        <w:wordWrap/>
        <w:overflowPunct/>
        <w:topLinePunct w:val="0"/>
        <w:autoSpaceDE/>
        <w:autoSpaceDN/>
        <w:bidi w:val="0"/>
        <w:adjustRightInd/>
        <w:snapToGrid/>
        <w:spacing w:before="10" w:line="300" w:lineRule="auto"/>
        <w:ind w:left="-1" w:leftChars="0" w:right="-397" w:rightChars="-124" w:firstLine="0" w:firstLineChars="0"/>
        <w:jc w:val="both"/>
        <w:textAlignment w:val="auto"/>
        <w:rPr>
          <w:rFonts w:hint="eastAsia" w:ascii="宋体" w:hAnsi="宋体" w:eastAsia="宋体" w:cs="宋体"/>
          <w:spacing w:val="11"/>
          <w:sz w:val="24"/>
          <w:szCs w:val="24"/>
        </w:rPr>
      </w:pPr>
      <w:r>
        <w:rPr>
          <w:rFonts w:hint="eastAsia" w:ascii="宋体" w:hAnsi="宋体" w:eastAsia="宋体" w:cs="宋体"/>
          <w:b/>
          <w:bCs/>
          <w:spacing w:val="11"/>
          <w:sz w:val="24"/>
          <w:szCs w:val="24"/>
        </w:rPr>
        <w:t>秘书处：</w:t>
      </w:r>
      <w:r>
        <w:rPr>
          <w:rFonts w:hint="eastAsia" w:ascii="宋体" w:hAnsi="宋体" w:eastAsia="宋体" w:cs="宋体"/>
          <w:spacing w:val="11"/>
          <w:sz w:val="24"/>
          <w:szCs w:val="24"/>
        </w:rPr>
        <w:t>华南理工大学食品科学与工程学院</w:t>
      </w:r>
    </w:p>
    <w:p w14:paraId="157759EC">
      <w:pPr>
        <w:pStyle w:val="2"/>
        <w:keepNext w:val="0"/>
        <w:keepLines w:val="0"/>
        <w:pageBreakBefore w:val="0"/>
        <w:widowControl w:val="0"/>
        <w:tabs>
          <w:tab w:val="left" w:pos="0"/>
        </w:tabs>
        <w:kinsoku/>
        <w:wordWrap/>
        <w:overflowPunct/>
        <w:topLinePunct w:val="0"/>
        <w:autoSpaceDE/>
        <w:autoSpaceDN/>
        <w:bidi w:val="0"/>
        <w:adjustRightInd/>
        <w:snapToGrid/>
        <w:spacing w:before="157" w:beforeLines="50" w:after="157" w:afterLines="50" w:line="300" w:lineRule="auto"/>
        <w:ind w:left="0" w:leftChars="0" w:right="-397" w:rightChars="-124" w:firstLine="0" w:firstLineChars="0"/>
        <w:textAlignment w:val="auto"/>
        <w:outlineLvl w:val="1"/>
        <w:rPr>
          <w:rFonts w:hint="eastAsia" w:ascii="宋体" w:hAnsi="宋体" w:eastAsia="宋体" w:cs="宋体"/>
          <w:b/>
          <w:bCs/>
          <w:spacing w:val="5"/>
          <w:sz w:val="24"/>
          <w:szCs w:val="24"/>
        </w:rPr>
      </w:pPr>
      <w:r>
        <w:rPr>
          <w:rFonts w:hint="eastAsia" w:ascii="宋体" w:hAnsi="宋体" w:eastAsia="宋体" w:cs="宋体"/>
          <w:b/>
          <w:bCs/>
          <w:spacing w:val="5"/>
          <w:sz w:val="24"/>
          <w:szCs w:val="24"/>
        </w:rPr>
        <w:t>三、成员单位</w:t>
      </w:r>
    </w:p>
    <w:p w14:paraId="314ECF3A">
      <w:pPr>
        <w:pStyle w:val="2"/>
        <w:keepNext w:val="0"/>
        <w:keepLines w:val="0"/>
        <w:pageBreakBefore w:val="0"/>
        <w:widowControl w:val="0"/>
        <w:tabs>
          <w:tab w:val="left" w:pos="0"/>
        </w:tabs>
        <w:kinsoku/>
        <w:wordWrap/>
        <w:overflowPunct/>
        <w:topLinePunct w:val="0"/>
        <w:autoSpaceDE/>
        <w:autoSpaceDN/>
        <w:bidi w:val="0"/>
        <w:adjustRightInd/>
        <w:snapToGrid/>
        <w:spacing w:line="300" w:lineRule="auto"/>
        <w:ind w:left="0" w:leftChars="0" w:right="-397" w:rightChars="-124" w:firstLine="0" w:firstLineChars="0"/>
        <w:jc w:val="both"/>
        <w:textAlignment w:val="auto"/>
        <w:rPr>
          <w:rFonts w:hint="eastAsia" w:ascii="宋体" w:hAnsi="宋体" w:eastAsia="宋体" w:cs="宋体"/>
          <w:b/>
          <w:bCs/>
          <w:spacing w:val="5"/>
          <w:sz w:val="24"/>
          <w:szCs w:val="24"/>
        </w:rPr>
      </w:pPr>
      <w:r>
        <w:rPr>
          <w:rFonts w:hint="eastAsia" w:cs="宋体"/>
          <w:spacing w:val="1"/>
          <w:sz w:val="24"/>
          <w:szCs w:val="24"/>
          <w:lang w:val="en-US" w:eastAsia="zh-CN"/>
        </w:rPr>
        <w:tab/>
      </w:r>
      <w:r>
        <w:rPr>
          <w:rFonts w:hint="eastAsia" w:ascii="宋体" w:hAnsi="宋体" w:eastAsia="宋体" w:cs="宋体"/>
          <w:spacing w:val="1"/>
          <w:sz w:val="24"/>
          <w:szCs w:val="24"/>
        </w:rPr>
        <w:t>凡依法设立，从事食品行业相关的教学、科研、生产、服务的企事业单位、</w:t>
      </w:r>
      <w:r>
        <w:rPr>
          <w:rFonts w:hint="eastAsia" w:ascii="宋体" w:hAnsi="宋体" w:eastAsia="宋体" w:cs="宋体"/>
          <w:spacing w:val="10"/>
          <w:sz w:val="24"/>
          <w:szCs w:val="24"/>
        </w:rPr>
        <w:t>社会团体等组织，承认本章程，</w:t>
      </w:r>
      <w:r>
        <w:rPr>
          <w:rFonts w:hint="eastAsia" w:ascii="宋体" w:hAnsi="宋体" w:eastAsia="宋体" w:cs="宋体"/>
          <w:spacing w:val="-72"/>
          <w:sz w:val="24"/>
          <w:szCs w:val="24"/>
        </w:rPr>
        <w:t xml:space="preserve"> </w:t>
      </w:r>
      <w:r>
        <w:rPr>
          <w:rFonts w:hint="eastAsia" w:ascii="宋体" w:hAnsi="宋体" w:eastAsia="宋体" w:cs="宋体"/>
          <w:spacing w:val="10"/>
          <w:sz w:val="24"/>
          <w:szCs w:val="24"/>
        </w:rPr>
        <w:t>自愿申请并履行成员义务，经</w:t>
      </w:r>
      <w:r>
        <w:rPr>
          <w:rFonts w:hint="eastAsia" w:ascii="宋体" w:hAnsi="宋体" w:eastAsia="宋体" w:cs="宋体"/>
          <w:spacing w:val="9"/>
          <w:sz w:val="24"/>
          <w:szCs w:val="24"/>
        </w:rPr>
        <w:t>理事会批准，</w:t>
      </w:r>
      <w:r>
        <w:rPr>
          <w:rFonts w:hint="eastAsia" w:ascii="宋体" w:hAnsi="宋体" w:eastAsia="宋体" w:cs="宋体"/>
          <w:spacing w:val="8"/>
          <w:sz w:val="24"/>
          <w:szCs w:val="24"/>
        </w:rPr>
        <w:t>均可成为本共同体成员。</w:t>
      </w:r>
    </w:p>
    <w:p w14:paraId="34A79EAF">
      <w:pPr>
        <w:pStyle w:val="2"/>
        <w:keepNext w:val="0"/>
        <w:keepLines w:val="0"/>
        <w:pageBreakBefore w:val="0"/>
        <w:widowControl w:val="0"/>
        <w:tabs>
          <w:tab w:val="left" w:pos="0"/>
        </w:tabs>
        <w:kinsoku/>
        <w:wordWrap/>
        <w:overflowPunct/>
        <w:topLinePunct w:val="0"/>
        <w:autoSpaceDE/>
        <w:autoSpaceDN/>
        <w:bidi w:val="0"/>
        <w:adjustRightInd/>
        <w:snapToGrid/>
        <w:spacing w:before="157" w:beforeLines="50" w:after="157" w:afterLines="50" w:line="300" w:lineRule="auto"/>
        <w:ind w:left="0" w:leftChars="0" w:right="-397" w:rightChars="-124" w:firstLine="0" w:firstLineChars="0"/>
        <w:textAlignment w:val="auto"/>
        <w:outlineLvl w:val="1"/>
        <w:rPr>
          <w:rFonts w:hint="eastAsia" w:ascii="宋体" w:hAnsi="宋体" w:eastAsia="宋体" w:cs="宋体"/>
          <w:b/>
          <w:bCs/>
          <w:spacing w:val="5"/>
          <w:sz w:val="24"/>
          <w:szCs w:val="24"/>
        </w:rPr>
      </w:pPr>
    </w:p>
    <w:p w14:paraId="79E35263">
      <w:pPr>
        <w:pStyle w:val="2"/>
        <w:keepNext w:val="0"/>
        <w:keepLines w:val="0"/>
        <w:pageBreakBefore w:val="0"/>
        <w:widowControl w:val="0"/>
        <w:tabs>
          <w:tab w:val="left" w:pos="0"/>
        </w:tabs>
        <w:kinsoku/>
        <w:wordWrap/>
        <w:overflowPunct/>
        <w:topLinePunct w:val="0"/>
        <w:autoSpaceDE/>
        <w:autoSpaceDN/>
        <w:bidi w:val="0"/>
        <w:adjustRightInd/>
        <w:snapToGrid/>
        <w:spacing w:before="157" w:beforeLines="50" w:after="157" w:afterLines="50" w:line="300" w:lineRule="auto"/>
        <w:ind w:left="0" w:leftChars="0" w:right="-397" w:rightChars="-124" w:firstLine="0" w:firstLineChars="0"/>
        <w:textAlignment w:val="auto"/>
        <w:outlineLvl w:val="1"/>
        <w:rPr>
          <w:rFonts w:hint="eastAsia" w:ascii="宋体" w:hAnsi="宋体" w:eastAsia="宋体" w:cs="宋体"/>
          <w:b/>
          <w:bCs/>
          <w:spacing w:val="5"/>
          <w:sz w:val="24"/>
          <w:szCs w:val="24"/>
        </w:rPr>
      </w:pPr>
      <w:r>
        <w:rPr>
          <w:rFonts w:hint="eastAsia" w:ascii="宋体" w:hAnsi="宋体" w:eastAsia="宋体" w:cs="宋体"/>
          <w:b/>
          <w:bCs/>
          <w:spacing w:val="5"/>
          <w:sz w:val="24"/>
          <w:szCs w:val="24"/>
        </w:rPr>
        <w:t>四、合作模式</w:t>
      </w:r>
    </w:p>
    <w:p w14:paraId="2282B53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157" w:afterLines="50" w:line="300" w:lineRule="auto"/>
        <w:ind w:left="-1" w:leftChars="0" w:right="-397" w:rightChars="-124" w:firstLine="0" w:firstLineChars="0"/>
        <w:jc w:val="left"/>
        <w:textAlignment w:val="auto"/>
        <w:rPr>
          <w:rFonts w:hint="default" w:ascii="宋体" w:hAnsi="宋体" w:eastAsia="宋体" w:cs="宋体"/>
          <w:spacing w:val="1"/>
          <w:kern w:val="2"/>
          <w:sz w:val="24"/>
          <w:szCs w:val="24"/>
          <w:lang w:val="en-US" w:eastAsia="zh-CN" w:bidi="ar-SA"/>
        </w:rPr>
      </w:pPr>
      <w:r>
        <w:rPr>
          <w:rFonts w:hint="eastAsia" w:ascii="宋体" w:hAnsi="宋体" w:eastAsia="宋体" w:cs="宋体"/>
          <w:spacing w:val="1"/>
          <w:kern w:val="2"/>
          <w:sz w:val="24"/>
          <w:szCs w:val="24"/>
          <w:lang w:val="en-US" w:eastAsia="zh-CN" w:bidi="ar-SA"/>
        </w:rPr>
        <w:tab/>
      </w:r>
      <w:r>
        <w:rPr>
          <w:rFonts w:hint="eastAsia" w:ascii="宋体" w:hAnsi="宋体" w:eastAsia="宋体" w:cs="宋体"/>
          <w:spacing w:val="1"/>
          <w:kern w:val="2"/>
          <w:sz w:val="24"/>
          <w:szCs w:val="24"/>
          <w:lang w:val="en-US" w:eastAsia="zh-CN" w:bidi="ar-SA"/>
        </w:rPr>
        <w:tab/>
      </w:r>
      <w:r>
        <w:rPr>
          <w:rFonts w:hint="eastAsia" w:ascii="宋体" w:hAnsi="宋体" w:eastAsia="宋体" w:cs="宋体"/>
          <w:spacing w:val="1"/>
          <w:kern w:val="2"/>
          <w:sz w:val="24"/>
          <w:szCs w:val="24"/>
          <w:lang w:val="en-US" w:eastAsia="en-US" w:bidi="ar-SA"/>
        </w:rPr>
        <w:t>通过成立专家智库、组建智囊团、建立企业联盟、搭建企业家及高管交流平台，为企业发展诊断把脉；通过开设校企合作课程、培训企业高级管理人才、共建研究生培养示范基地、就业创业实践基地、企业活力校园行等形式，为企业培养和输送高素质人才；通过有组织科研团队服务企业、新产品开发、共建创新中心，推动技术突破与企业可持续发展。</w:t>
      </w:r>
      <w:r>
        <w:rPr>
          <w:rFonts w:hint="eastAsia" w:ascii="宋体" w:hAnsi="宋体" w:eastAsia="宋体" w:cs="宋体"/>
          <w:spacing w:val="1"/>
          <w:kern w:val="2"/>
          <w:sz w:val="24"/>
          <w:szCs w:val="24"/>
          <w:lang w:val="en-US" w:eastAsia="zh-CN" w:bidi="ar-SA"/>
        </w:rPr>
        <w:t>详见以下说明：</w:t>
      </w:r>
    </w:p>
    <w:tbl>
      <w:tblPr>
        <w:tblStyle w:val="4"/>
        <w:tblW w:w="9717" w:type="dxa"/>
        <w:tblInd w:w="-5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6516"/>
        <w:gridCol w:w="1834"/>
      </w:tblGrid>
      <w:tr w14:paraId="2034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3AE134BF">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sz w:val="21"/>
                <w:szCs w:val="21"/>
              </w:rPr>
              <w:t>合作模式</w:t>
            </w:r>
          </w:p>
        </w:tc>
        <w:tc>
          <w:tcPr>
            <w:tcW w:w="6516" w:type="dxa"/>
            <w:vAlign w:val="center"/>
          </w:tcPr>
          <w:p w14:paraId="6CB1520F">
            <w:pPr>
              <w:keepNext w:val="0"/>
              <w:keepLines w:val="0"/>
              <w:pageBreakBefore w:val="0"/>
              <w:widowControl/>
              <w:kinsoku/>
              <w:wordWrap/>
              <w:overflowPunct/>
              <w:topLinePunct w:val="0"/>
              <w:autoSpaceDE/>
              <w:autoSpaceDN/>
              <w:bidi w:val="0"/>
              <w:adjustRightInd/>
              <w:spacing w:line="240" w:lineRule="auto"/>
              <w:ind w:firstLine="422" w:firstLineChars="20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sz w:val="21"/>
                <w:szCs w:val="21"/>
              </w:rPr>
              <w:t>项目简介</w:t>
            </w:r>
          </w:p>
        </w:tc>
        <w:tc>
          <w:tcPr>
            <w:tcW w:w="1834" w:type="dxa"/>
            <w:vAlign w:val="center"/>
          </w:tcPr>
          <w:p w14:paraId="69A5FF02">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联系方式</w:t>
            </w:r>
          </w:p>
        </w:tc>
      </w:tr>
      <w:tr w14:paraId="726C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6F934343">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color w:val="000000" w:themeColor="text1"/>
                <w:spacing w:val="-4"/>
                <w:sz w:val="21"/>
                <w:szCs w:val="21"/>
                <w14:textFill>
                  <w14:solidFill>
                    <w14:schemeClr w14:val="tx1"/>
                  </w14:solidFill>
                </w14:textFill>
              </w:rPr>
              <w:t>对口搭建企业专家智库</w:t>
            </w:r>
          </w:p>
        </w:tc>
        <w:tc>
          <w:tcPr>
            <w:tcW w:w="6516" w:type="dxa"/>
            <w:vAlign w:val="center"/>
          </w:tcPr>
          <w:p w14:paraId="658850DD">
            <w:pPr>
              <w:keepNext w:val="0"/>
              <w:keepLines w:val="0"/>
              <w:pageBreakBefore w:val="0"/>
              <w:widowControl/>
              <w:kinsoku/>
              <w:wordWrap/>
              <w:overflowPunct/>
              <w:topLinePunct w:val="0"/>
              <w:autoSpaceDE/>
              <w:autoSpaceDN/>
              <w:bidi w:val="0"/>
              <w:adjustRightInd/>
              <w:spacing w:line="240" w:lineRule="auto"/>
              <w:ind w:firstLine="404" w:firstLineChars="200"/>
              <w:textAlignment w:val="auto"/>
              <w:rPr>
                <w:rFonts w:hint="eastAsia" w:ascii="宋体" w:hAnsi="宋体" w:eastAsia="宋体" w:cs="宋体"/>
                <w:color w:val="000000" w:themeColor="text1"/>
                <w:spacing w:val="-4"/>
                <w:sz w:val="21"/>
                <w:szCs w:val="21"/>
                <w14:textFill>
                  <w14:solidFill>
                    <w14:schemeClr w14:val="tx1"/>
                  </w14:solidFill>
                </w14:textFill>
              </w:rPr>
            </w:pPr>
            <w:r>
              <w:rPr>
                <w:rFonts w:hint="eastAsia" w:ascii="宋体" w:hAnsi="宋体" w:eastAsia="宋体" w:cs="宋体"/>
                <w:color w:val="000000" w:themeColor="text1"/>
                <w:spacing w:val="-4"/>
                <w:sz w:val="21"/>
                <w:szCs w:val="21"/>
                <w14:textFill>
                  <w14:solidFill>
                    <w14:schemeClr w14:val="tx1"/>
                  </w14:solidFill>
                </w14:textFill>
              </w:rPr>
              <w:t>1.结合企业战略规划、新产品研发、技术需求等，匹配行业内相关的专家团队，通过走访、调研，座谈会、专项研讨会等面对面现场交流沟通，为企业提供产品研发、工艺改进、技术提升等技术服务工作，协助企业嫁接新技术、新工艺、新设备和食品新资源。同时针对关键技术难点，可实施开展专项的课题研究。</w:t>
            </w:r>
          </w:p>
          <w:p w14:paraId="7F886207">
            <w:pPr>
              <w:keepNext w:val="0"/>
              <w:keepLines w:val="0"/>
              <w:pageBreakBefore w:val="0"/>
              <w:widowControl/>
              <w:kinsoku/>
              <w:wordWrap/>
              <w:overflowPunct/>
              <w:topLinePunct w:val="0"/>
              <w:autoSpaceDE/>
              <w:autoSpaceDN/>
              <w:bidi w:val="0"/>
              <w:adjustRightInd/>
              <w:spacing w:line="240" w:lineRule="auto"/>
              <w:ind w:firstLine="404" w:firstLineChars="200"/>
              <w:textAlignment w:val="auto"/>
              <w:rPr>
                <w:rFonts w:hint="eastAsia" w:ascii="宋体" w:hAnsi="宋体" w:eastAsia="宋体" w:cs="宋体"/>
                <w:color w:val="000000" w:themeColor="text1"/>
                <w:spacing w:val="-4"/>
                <w:sz w:val="21"/>
                <w:szCs w:val="21"/>
                <w14:textFill>
                  <w14:solidFill>
                    <w14:schemeClr w14:val="tx1"/>
                  </w14:solidFill>
                </w14:textFill>
              </w:rPr>
            </w:pPr>
            <w:r>
              <w:rPr>
                <w:rFonts w:hint="eastAsia" w:ascii="宋体" w:hAnsi="宋体" w:eastAsia="宋体" w:cs="宋体"/>
                <w:color w:val="000000" w:themeColor="text1"/>
                <w:spacing w:val="-4"/>
                <w:sz w:val="21"/>
                <w:szCs w:val="21"/>
                <w14:textFill>
                  <w14:solidFill>
                    <w14:schemeClr w14:val="tx1"/>
                  </w14:solidFill>
                </w14:textFill>
              </w:rPr>
              <w:t>2.结合“专家成果库”中成果情况，企业可遴选自己感兴趣成果，定向组织邀请相应专家去企业结合企业产品情况实施成果推荐和对接工作，企业可高效率、低成本的实施成果的转化和落地。</w:t>
            </w:r>
          </w:p>
        </w:tc>
        <w:tc>
          <w:tcPr>
            <w:tcW w:w="1834" w:type="dxa"/>
            <w:vAlign w:val="center"/>
          </w:tcPr>
          <w:p w14:paraId="5DB62B3A">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彭红梅</w:t>
            </w:r>
          </w:p>
          <w:p w14:paraId="2E25925E">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020-87111548</w:t>
            </w:r>
          </w:p>
        </w:tc>
      </w:tr>
      <w:tr w14:paraId="4C7C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1B5ECA2A">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color w:val="000000" w:themeColor="text1"/>
                <w:spacing w:val="-4"/>
                <w:sz w:val="21"/>
                <w:szCs w:val="21"/>
                <w14:textFill>
                  <w14:solidFill>
                    <w14:schemeClr w14:val="tx1"/>
                  </w14:solidFill>
                </w14:textFill>
              </w:rPr>
              <w:t>企业高管培训、提升</w:t>
            </w:r>
          </w:p>
        </w:tc>
        <w:tc>
          <w:tcPr>
            <w:tcW w:w="6516" w:type="dxa"/>
            <w:vAlign w:val="center"/>
          </w:tcPr>
          <w:p w14:paraId="1E7E7EA2">
            <w:pPr>
              <w:keepNext w:val="0"/>
              <w:keepLines w:val="0"/>
              <w:pageBreakBefore w:val="0"/>
              <w:widowControl/>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000000" w:themeColor="text1"/>
                <w:spacing w:val="-4"/>
                <w:sz w:val="21"/>
                <w:szCs w:val="21"/>
                <w14:textFill>
                  <w14:solidFill>
                    <w14:schemeClr w14:val="tx1"/>
                  </w14:solidFill>
                </w14:textFill>
              </w:rPr>
            </w:pPr>
            <w:r>
              <w:rPr>
                <w:rFonts w:hint="eastAsia" w:ascii="宋体" w:hAnsi="宋体" w:eastAsia="宋体" w:cs="宋体"/>
                <w:sz w:val="21"/>
                <w:szCs w:val="21"/>
              </w:rPr>
              <w:t>食品企业家高质量短期研修班由食品科学与工程学院联合工商管理学院、新闻传播学院共同举办，依托全球领先的食品学科优势，致力于赋能食品企业中高层管理者，全面掌握前沿技术与现代管理体系，提升企业在绿色创新与智能化转型中的竞争优势。本研修班课程体系共设八大模块，内容涵盖行业趋势与政策导向、技术创新与新产品创制、智能制造与安全精准控制、战略管理与供应链整合等核心主题。</w:t>
            </w:r>
          </w:p>
        </w:tc>
        <w:tc>
          <w:tcPr>
            <w:tcW w:w="1834" w:type="dxa"/>
            <w:vAlign w:val="center"/>
          </w:tcPr>
          <w:p w14:paraId="43FAB08A">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张霞cexzhang</w:t>
            </w:r>
          </w:p>
          <w:p w14:paraId="75CCCA5D">
            <w:pPr>
              <w:keepNext w:val="0"/>
              <w:keepLines w:val="0"/>
              <w:pageBreakBefore w:val="0"/>
              <w:widowControl/>
              <w:kinsoku/>
              <w:wordWrap/>
              <w:overflowPunct/>
              <w:topLinePunct w:val="0"/>
              <w:autoSpaceDE/>
              <w:autoSpaceDN/>
              <w:bidi w:val="0"/>
              <w:adjustRightInd/>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@scut.edu.cn</w:t>
            </w:r>
          </w:p>
        </w:tc>
      </w:tr>
      <w:tr w14:paraId="4B9B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4201820F">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bookmarkStart w:id="0" w:name="OLE_LINK6"/>
            <w:bookmarkStart w:id="1" w:name="OLE_LINK8"/>
            <w:r>
              <w:rPr>
                <w:rFonts w:hint="eastAsia" w:ascii="宋体" w:hAnsi="宋体" w:eastAsia="宋体" w:cs="宋体"/>
                <w:b/>
                <w:bCs/>
                <w:color w:val="000000" w:themeColor="text1"/>
                <w:spacing w:val="-4"/>
                <w:sz w:val="21"/>
                <w:szCs w:val="21"/>
                <w14:textFill>
                  <w14:solidFill>
                    <w14:schemeClr w14:val="tx1"/>
                  </w14:solidFill>
                </w14:textFill>
              </w:rPr>
              <w:t>共建研究生联合培养基地</w:t>
            </w:r>
            <w:bookmarkEnd w:id="0"/>
            <w:bookmarkEnd w:id="1"/>
          </w:p>
        </w:tc>
        <w:tc>
          <w:tcPr>
            <w:tcW w:w="6516" w:type="dxa"/>
            <w:vAlign w:val="center"/>
          </w:tcPr>
          <w:p w14:paraId="4EE75323">
            <w:pPr>
              <w:keepNext w:val="0"/>
              <w:keepLines w:val="0"/>
              <w:pageBreakBefore w:val="0"/>
              <w:widowControl/>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000000" w:themeColor="text1"/>
                <w:spacing w:val="-4"/>
                <w:sz w:val="21"/>
                <w:szCs w:val="21"/>
                <w14:textFill>
                  <w14:solidFill>
                    <w14:schemeClr w14:val="tx1"/>
                  </w14:solidFill>
                </w14:textFill>
              </w:rPr>
            </w:pPr>
            <w:r>
              <w:rPr>
                <w:rFonts w:hint="eastAsia" w:ascii="宋体" w:hAnsi="宋体" w:eastAsia="宋体" w:cs="宋体"/>
                <w:sz w:val="21"/>
                <w:szCs w:val="21"/>
              </w:rPr>
              <w:t>聚焦国家战略需求和区域经济发展需求，通过“企业出题、校企共答、市场阅卷”产教融合机制，加快构建“校内培养+基地实践+联合指导”三位一体专业学位研究生产教融合协同育人模式，打造高水平实践育人平台，培养国家亟需的高层次应用型专门人才。</w:t>
            </w:r>
          </w:p>
        </w:tc>
        <w:tc>
          <w:tcPr>
            <w:tcW w:w="1834" w:type="dxa"/>
            <w:vAlign w:val="center"/>
          </w:tcPr>
          <w:p w14:paraId="1B6D4FD1">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黄易坤020-87110738</w:t>
            </w:r>
          </w:p>
        </w:tc>
      </w:tr>
      <w:tr w14:paraId="1E13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150B2BE0">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color w:val="000000" w:themeColor="text1"/>
                <w:spacing w:val="-4"/>
                <w:sz w:val="21"/>
                <w:szCs w:val="21"/>
                <w14:textFill>
                  <w14:solidFill>
                    <w14:schemeClr w14:val="tx1"/>
                  </w14:solidFill>
                </w14:textFill>
              </w:rPr>
              <w:t>共建就业创业实践基地</w:t>
            </w:r>
          </w:p>
        </w:tc>
        <w:tc>
          <w:tcPr>
            <w:tcW w:w="6516" w:type="dxa"/>
            <w:vAlign w:val="center"/>
          </w:tcPr>
          <w:p w14:paraId="689EE679">
            <w:pPr>
              <w:keepNext w:val="0"/>
              <w:keepLines w:val="0"/>
              <w:pageBreakBefore w:val="0"/>
              <w:widowControl/>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根据学校就业指导中心《合作共建华南理工大学学生就业创业实践基地框架协议》执行。</w:t>
            </w:r>
          </w:p>
        </w:tc>
        <w:tc>
          <w:tcPr>
            <w:tcW w:w="1834" w:type="dxa"/>
            <w:vAlign w:val="center"/>
          </w:tcPr>
          <w:p w14:paraId="32FC8F58">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崔蓉020-87113037</w:t>
            </w:r>
          </w:p>
        </w:tc>
      </w:tr>
      <w:tr w14:paraId="4E37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0C60FAD2">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color w:val="000000" w:themeColor="text1"/>
                <w:spacing w:val="-4"/>
                <w:sz w:val="21"/>
                <w:szCs w:val="21"/>
                <w14:textFill>
                  <w14:solidFill>
                    <w14:schemeClr w14:val="tx1"/>
                  </w14:solidFill>
                </w14:textFill>
              </w:rPr>
              <w:t>共建创新中心、联合研发中心</w:t>
            </w:r>
          </w:p>
        </w:tc>
        <w:tc>
          <w:tcPr>
            <w:tcW w:w="6516" w:type="dxa"/>
            <w:vAlign w:val="center"/>
          </w:tcPr>
          <w:p w14:paraId="7F83021B">
            <w:pPr>
              <w:keepNext w:val="0"/>
              <w:keepLines w:val="0"/>
              <w:pageBreakBefore w:val="0"/>
              <w:widowControl/>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面向规模较大，研发创新能力较强，且与学院具有前期项目合作基础的高新技术企业或行业龙头企业，由企业出资，联合院内具有丰富项目经验的教职工，旨在实现强强联合、促进产业落地。项目投入一般不低于300万元，上市企业不低于400万元，知名企业集团不低于500万元。</w:t>
            </w:r>
          </w:p>
        </w:tc>
        <w:tc>
          <w:tcPr>
            <w:tcW w:w="1834" w:type="dxa"/>
            <w:vMerge w:val="restart"/>
            <w:vAlign w:val="center"/>
          </w:tcPr>
          <w:p w14:paraId="5FF4D25F">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贾卫辉020-87114218</w:t>
            </w:r>
          </w:p>
        </w:tc>
      </w:tr>
      <w:tr w14:paraId="3EE7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18471C92">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color w:val="000000" w:themeColor="text1"/>
                <w:spacing w:val="-4"/>
                <w:sz w:val="21"/>
                <w:szCs w:val="21"/>
                <w14:textFill>
                  <w14:solidFill>
                    <w14:schemeClr w14:val="tx1"/>
                  </w14:solidFill>
                </w14:textFill>
              </w:rPr>
              <w:t>设置揭榜挂帅课题</w:t>
            </w:r>
          </w:p>
        </w:tc>
        <w:tc>
          <w:tcPr>
            <w:tcW w:w="6516" w:type="dxa"/>
            <w:vAlign w:val="center"/>
          </w:tcPr>
          <w:p w14:paraId="7B1FC5D5">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聚焦行业“卡脖子”技术瓶颈，由企业张榜发布需求，学院科研团队竞争揭榜，通过签订任务书，对考核指标、付款方式、成果归属等内容予以确定。旨在通过科研组织模式创新，汇聚产学科创力量，精准对接共性亟需，激发创新活力，加速技术突破，实现“同题共答、市场阅卷”的良性循环。</w:t>
            </w:r>
          </w:p>
        </w:tc>
        <w:tc>
          <w:tcPr>
            <w:tcW w:w="1834" w:type="dxa"/>
            <w:vMerge w:val="continue"/>
            <w:vAlign w:val="center"/>
          </w:tcPr>
          <w:p w14:paraId="0CF57072">
            <w:pPr>
              <w:keepNext w:val="0"/>
              <w:keepLines w:val="0"/>
              <w:pageBreakBefore w:val="0"/>
              <w:widowControl/>
              <w:kinsoku/>
              <w:wordWrap/>
              <w:overflowPunct/>
              <w:topLinePunct w:val="0"/>
              <w:autoSpaceDE/>
              <w:autoSpaceDN/>
              <w:bidi w:val="0"/>
              <w:adjustRightInd/>
              <w:spacing w:line="240" w:lineRule="auto"/>
              <w:ind w:firstLine="420" w:firstLineChars="200"/>
              <w:jc w:val="left"/>
              <w:textAlignment w:val="auto"/>
              <w:rPr>
                <w:rFonts w:hint="eastAsia" w:ascii="宋体" w:hAnsi="宋体" w:eastAsia="宋体" w:cs="宋体"/>
                <w:sz w:val="21"/>
                <w:szCs w:val="21"/>
              </w:rPr>
            </w:pPr>
          </w:p>
        </w:tc>
      </w:tr>
      <w:tr w14:paraId="015C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192AFA40">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color w:val="000000" w:themeColor="text1"/>
                <w:spacing w:val="-4"/>
                <w:sz w:val="21"/>
                <w:szCs w:val="21"/>
                <w14:textFill>
                  <w14:solidFill>
                    <w14:schemeClr w14:val="tx1"/>
                  </w14:solidFill>
                </w14:textFill>
              </w:rPr>
              <w:t>关键技术攻关</w:t>
            </w:r>
          </w:p>
        </w:tc>
        <w:tc>
          <w:tcPr>
            <w:tcW w:w="6516" w:type="dxa"/>
            <w:vAlign w:val="center"/>
          </w:tcPr>
          <w:p w14:paraId="20CF293E">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针对企业自身关键技术难题，由企业委托学院教师解决具体技术问题或开发新产品并支付科研经费，以项目合同约定技术指标、项目周期和成果归属等。旨在快速响应企业技术需求，促进高校成果转化，实现校企互利共赢。</w:t>
            </w:r>
          </w:p>
        </w:tc>
        <w:tc>
          <w:tcPr>
            <w:tcW w:w="1834" w:type="dxa"/>
            <w:vMerge w:val="continue"/>
            <w:vAlign w:val="center"/>
          </w:tcPr>
          <w:p w14:paraId="466DE7A5">
            <w:pPr>
              <w:keepNext w:val="0"/>
              <w:keepLines w:val="0"/>
              <w:pageBreakBefore w:val="0"/>
              <w:widowControl/>
              <w:kinsoku/>
              <w:wordWrap/>
              <w:overflowPunct/>
              <w:topLinePunct w:val="0"/>
              <w:autoSpaceDE/>
              <w:autoSpaceDN/>
              <w:bidi w:val="0"/>
              <w:adjustRightInd/>
              <w:spacing w:line="240" w:lineRule="auto"/>
              <w:ind w:firstLine="420" w:firstLineChars="200"/>
              <w:jc w:val="left"/>
              <w:textAlignment w:val="auto"/>
              <w:rPr>
                <w:rFonts w:hint="eastAsia" w:ascii="宋体" w:hAnsi="宋体" w:eastAsia="宋体" w:cs="宋体"/>
                <w:sz w:val="21"/>
                <w:szCs w:val="21"/>
              </w:rPr>
            </w:pPr>
          </w:p>
        </w:tc>
      </w:tr>
      <w:tr w14:paraId="4CB4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30268192">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color w:val="000000" w:themeColor="text1"/>
                <w:spacing w:val="-4"/>
                <w:sz w:val="21"/>
                <w:szCs w:val="21"/>
                <w14:textFill>
                  <w14:solidFill>
                    <w14:schemeClr w14:val="tx1"/>
                  </w14:solidFill>
                </w14:textFill>
              </w:rPr>
              <w:t>设置企业奖、助学金</w:t>
            </w:r>
          </w:p>
        </w:tc>
        <w:tc>
          <w:tcPr>
            <w:tcW w:w="6516" w:type="dxa"/>
            <w:vAlign w:val="center"/>
          </w:tcPr>
          <w:p w14:paraId="50457F27">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通过学校基金会，成立专项奖助学金项目，资助符合企业要求的各类学生。</w:t>
            </w:r>
          </w:p>
        </w:tc>
        <w:tc>
          <w:tcPr>
            <w:tcW w:w="1834" w:type="dxa"/>
            <w:vMerge w:val="restart"/>
            <w:vAlign w:val="center"/>
          </w:tcPr>
          <w:p w14:paraId="152BCF17">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崔蓉020-87113037</w:t>
            </w:r>
          </w:p>
        </w:tc>
      </w:tr>
      <w:tr w14:paraId="784E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08910F97">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color w:val="000000" w:themeColor="text1"/>
                <w:spacing w:val="-4"/>
                <w:sz w:val="21"/>
                <w:szCs w:val="21"/>
                <w14:textFill>
                  <w14:solidFill>
                    <w14:schemeClr w14:val="tx1"/>
                  </w14:solidFill>
                </w14:textFill>
              </w:rPr>
              <w:t>企业活力校园行</w:t>
            </w:r>
          </w:p>
        </w:tc>
        <w:tc>
          <w:tcPr>
            <w:tcW w:w="6516" w:type="dxa"/>
            <w:vAlign w:val="center"/>
          </w:tcPr>
          <w:p w14:paraId="38BECF37">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1.组织实践研学：由企业出资或校企联合，组织目标学生参观企业、参与实践项目等。</w:t>
            </w:r>
          </w:p>
          <w:p w14:paraId="0B20467A">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2.搭建竞赛平台：通过学校基金会或科研项目合作立项，成立专项竞赛项目。</w:t>
            </w:r>
          </w:p>
          <w:p w14:paraId="400FD1D2">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3.校园文化活动：通过学校基金会立项、赞助企业物资产品、定制纪念品等方式，支持校园文化活动，增强企业文化传播力度。</w:t>
            </w:r>
          </w:p>
        </w:tc>
        <w:tc>
          <w:tcPr>
            <w:tcW w:w="1834" w:type="dxa"/>
            <w:vMerge w:val="continue"/>
            <w:vAlign w:val="center"/>
          </w:tcPr>
          <w:p w14:paraId="39F14772">
            <w:pPr>
              <w:keepNext w:val="0"/>
              <w:keepLines w:val="0"/>
              <w:pageBreakBefore w:val="0"/>
              <w:widowControl/>
              <w:kinsoku/>
              <w:wordWrap/>
              <w:overflowPunct/>
              <w:topLinePunct w:val="0"/>
              <w:autoSpaceDE/>
              <w:autoSpaceDN/>
              <w:bidi w:val="0"/>
              <w:adjustRightInd/>
              <w:spacing w:line="240" w:lineRule="auto"/>
              <w:ind w:firstLine="420" w:firstLineChars="200"/>
              <w:jc w:val="left"/>
              <w:textAlignment w:val="auto"/>
              <w:rPr>
                <w:rFonts w:hint="eastAsia" w:ascii="宋体" w:hAnsi="宋体" w:eastAsia="宋体" w:cs="宋体"/>
                <w:sz w:val="21"/>
                <w:szCs w:val="21"/>
              </w:rPr>
            </w:pPr>
          </w:p>
        </w:tc>
      </w:tr>
      <w:tr w14:paraId="1176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1FB9CD1E">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b/>
                <w:bCs/>
                <w:color w:val="000000" w:themeColor="text1"/>
                <w:spacing w:val="-4"/>
                <w:sz w:val="21"/>
                <w:szCs w:val="21"/>
                <w14:textFill>
                  <w14:solidFill>
                    <w14:schemeClr w14:val="tx1"/>
                  </w14:solidFill>
                </w14:textFill>
              </w:rPr>
            </w:pPr>
            <w:r>
              <w:rPr>
                <w:rFonts w:hint="eastAsia" w:ascii="宋体" w:hAnsi="宋体" w:eastAsia="宋体" w:cs="宋体"/>
                <w:b/>
                <w:bCs/>
                <w:color w:val="000000" w:themeColor="text1"/>
                <w:spacing w:val="-4"/>
                <w:sz w:val="21"/>
                <w:szCs w:val="21"/>
                <w14:textFill>
                  <w14:solidFill>
                    <w14:schemeClr w14:val="tx1"/>
                  </w14:solidFill>
                </w14:textFill>
              </w:rPr>
              <w:t>校企党支部联建</w:t>
            </w:r>
          </w:p>
        </w:tc>
        <w:tc>
          <w:tcPr>
            <w:tcW w:w="6516" w:type="dxa"/>
            <w:vAlign w:val="center"/>
          </w:tcPr>
          <w:p w14:paraId="35FEB0B2">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促进共同体相关活动进一步落实，深化党建引领与产学研融合。共建双方以“资源共享、优势互补、协同发展”为目标，重点推进三项合作：一是联合开展主题党日活动，通过红色教育、业务研讨强化党员理想信念；二是搭建实践育人平台，企业为高校提供实习岗位与项目课题，高校为企业输送专业人才与技术支持；三是共建技术攻关小组，围绕企业发展痛点与行业技术难题，联合开展科研创新，助力产业升级与人才培养双向赋能。</w:t>
            </w:r>
          </w:p>
        </w:tc>
        <w:tc>
          <w:tcPr>
            <w:tcW w:w="1834" w:type="dxa"/>
            <w:vAlign w:val="center"/>
          </w:tcPr>
          <w:p w14:paraId="0640A145">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刘周慧子</w:t>
            </w:r>
          </w:p>
          <w:p w14:paraId="06CD6A5E">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020- 87112310</w:t>
            </w:r>
          </w:p>
        </w:tc>
      </w:tr>
    </w:tbl>
    <w:p w14:paraId="2BCD830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6B6A75"/>
    <w:rsid w:val="2E6B6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7"/>
      <w:szCs w:val="27"/>
      <w:lang w:val="en-US" w:eastAsia="en-US" w:bidi="ar-SA"/>
    </w:rPr>
  </w:style>
  <w:style w:type="table" w:styleId="4">
    <w:name w:val="Table Grid"/>
    <w:basedOn w:val="3"/>
    <w:qFormat/>
    <w:uiPriority w:val="39"/>
    <w:pPr>
      <w:ind w:firstLine="200" w:firstLineChars="200"/>
      <w:jc w:val="both"/>
    </w:pPr>
    <w:rPr>
      <w:rFonts w:eastAsia="仿宋" w:cstheme="minorBidi"/>
      <w:kern w:val="2"/>
      <w:sz w:val="30"/>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2026-10-10T06:10:00Z</dcterms:created>
  <dc:creator>玉洁</dc:creator>
  <cp:lastModifiedBy>玉洁</cp:lastModifiedBy>
  <dcterms:modified xsi:type="dcterms:W3CDTF">2026-10-10T06:10:35Z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D8B3B2D0990F44E2AA59070C2F55E69A_11</vt:lpwstr>
  </property>
  <property fmtid="{D5CDD505-2E9C-101B-9397-08002B2CF9AE}" pid="4" name="KSOTemplateDocerSaveRecord">
    <vt:lpwstr>eyJoZGlkIjoiNjJiNmE4NmI1Y2NjYmExMjkyNTBiM2YyMjc2NTUxZDQiLCJ1c2VySWQiOiIzMDEwNjA3NjMifQ==</vt:lpwstr>
  </property>
</Properties>
</file>