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DF7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7F2817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D5D439D">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67.0</w:t>
            </w:r>
            <w:r>
              <w:rPr>
                <w:rFonts w:hint="eastAsia" w:ascii="黑体" w:hAnsi="黑体" w:eastAsia="黑体"/>
                <w:sz w:val="21"/>
                <w:szCs w:val="21"/>
                <w:lang w:val="en-US" w:eastAsia="zh-CN"/>
              </w:rPr>
              <w:t>4</w:t>
            </w:r>
            <w:r>
              <w:rPr>
                <w:rFonts w:ascii="黑体" w:hAnsi="黑体" w:eastAsia="黑体"/>
                <w:sz w:val="21"/>
                <w:szCs w:val="21"/>
              </w:rPr>
              <w:t>0</w:t>
            </w:r>
            <w:r>
              <w:rPr>
                <w:rFonts w:ascii="黑体" w:hAnsi="黑体" w:eastAsia="黑体"/>
                <w:sz w:val="21"/>
                <w:szCs w:val="21"/>
              </w:rPr>
              <w:fldChar w:fldCharType="end"/>
            </w:r>
            <w:bookmarkEnd w:id="0"/>
          </w:p>
        </w:tc>
      </w:tr>
      <w:tr w14:paraId="1EC1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24D4B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40213E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X 0</w:t>
            </w:r>
            <w:r>
              <w:rPr>
                <w:rFonts w:hint="eastAsia" w:ascii="黑体" w:hAnsi="黑体" w:eastAsia="黑体"/>
                <w:sz w:val="21"/>
                <w:szCs w:val="21"/>
                <w:lang w:val="en-US" w:eastAsia="zh-CN"/>
              </w:rPr>
              <w:t>4</w:t>
            </w:r>
            <w:r>
              <w:rPr>
                <w:rFonts w:ascii="黑体" w:hAnsi="黑体" w:eastAsia="黑体"/>
                <w:sz w:val="21"/>
                <w:szCs w:val="21"/>
              </w:rPr>
              <w:fldChar w:fldCharType="end"/>
            </w:r>
            <w:bookmarkEnd w:id="1"/>
          </w:p>
        </w:tc>
      </w:tr>
    </w:tbl>
    <w:p w14:paraId="7BCBFF02">
      <w:pPr>
        <w:pStyle w:val="50"/>
        <w:framePr w:w="9639" w:h="624" w:hRule="exact" w:hSpace="181" w:vSpace="181" w:wrap="around" w:hAnchor="page" w:x="1305" w:y="2269"/>
      </w:pPr>
      <w:bookmarkStart w:id="2" w:name="_Hlk26473981"/>
      <w:r>
        <w:rPr>
          <w:rFonts w:hint="eastAsia"/>
        </w:rPr>
        <w:t>中华人民共和国国家标准</w:t>
      </w:r>
    </w:p>
    <w:bookmarkEnd w:id="2"/>
    <w:p w14:paraId="5C02EA88">
      <w:pPr>
        <w:pStyle w:val="195"/>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76EC5884">
      <w:pPr>
        <w:pStyle w:val="196"/>
        <w:rPr>
          <w:rFonts w:hint="eastAsia" w:hAnsi="黑体"/>
          <w:lang w:val="fr-FR"/>
        </w:rPr>
      </w:pPr>
      <w:r>
        <w:rPr>
          <w:rFonts w:hAnsi="黑体"/>
        </w:rPr>
        <w:fldChar w:fldCharType="begin">
          <w:ffData>
            <w:name w:val="OSTD_CODE"/>
            <w:enabled/>
            <w:calcOnExit w:val="0"/>
            <w:textInput/>
          </w:ffData>
        </w:fldChar>
      </w:r>
      <w:bookmarkStart w:id="6"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6"/>
    </w:p>
    <w:p w14:paraId="640CBC7B">
      <w:pPr>
        <w:spacing w:line="240" w:lineRule="auto"/>
        <w:ind w:left="8080"/>
        <w:rPr>
          <w:rFonts w:hint="eastAsia" w:ascii="黑体" w:hAnsi="黑体" w:eastAsia="黑体"/>
          <w:kern w:val="0"/>
          <w:sz w:val="52"/>
          <w:szCs w:val="20"/>
          <w:lang w:val="fr-FR"/>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7A7B6B0">
      <w:pPr>
        <w:pStyle w:val="50"/>
        <w:framePr w:w="9639" w:h="6976" w:hRule="exact" w:hSpace="0" w:vSpace="0" w:wrap="around" w:hAnchor="page" w:y="6408"/>
        <w:jc w:val="center"/>
        <w:rPr>
          <w:rFonts w:hint="eastAsia" w:ascii="黑体" w:hAnsi="黑体" w:eastAsia="黑体"/>
          <w:b w:val="0"/>
          <w:bCs w:val="0"/>
          <w:w w:val="100"/>
          <w:lang w:val="fr-FR"/>
        </w:rPr>
      </w:pPr>
    </w:p>
    <w:p w14:paraId="58186F61">
      <w:pPr>
        <w:pStyle w:val="197"/>
        <w:framePr w:h="6974" w:hRule="exact" w:wrap="around" w:x="1419" w:anchorLock="1"/>
        <w:rPr>
          <w:rFonts w:hint="eastAsia"/>
          <w:lang w:val="fr-FR"/>
        </w:rPr>
      </w:pPr>
      <w:r>
        <w:fldChar w:fldCharType="begin">
          <w:ffData>
            <w:name w:val="CSTD_NAME"/>
            <w:enabled/>
            <w:calcOnExit w:val="0"/>
            <w:textInput>
              <w:default w:val="点击此处添加标准名称"/>
            </w:textInput>
          </w:ffData>
        </w:fldChar>
      </w:r>
      <w:bookmarkStart w:id="7" w:name="CSTD_NAME"/>
      <w:r>
        <w:rPr>
          <w:lang w:val="fr-FR"/>
        </w:rPr>
        <w:instrText xml:space="preserve"> FORMTEXT </w:instrText>
      </w:r>
      <w:r>
        <w:fldChar w:fldCharType="separate"/>
      </w:r>
      <w:r>
        <w:rPr>
          <w:rFonts w:hint="eastAsia"/>
        </w:rPr>
        <w:t>预制菜术语和分类</w:t>
      </w:r>
      <w:r>
        <w:fldChar w:fldCharType="end"/>
      </w:r>
      <w:bookmarkEnd w:id="7"/>
    </w:p>
    <w:p w14:paraId="3C75B63A">
      <w:pPr>
        <w:framePr w:w="9639" w:h="6974" w:hRule="exact" w:wrap="around" w:vAnchor="page" w:hAnchor="page" w:x="1419" w:y="6408" w:anchorLock="1"/>
        <w:ind w:left="-1418"/>
        <w:rPr>
          <w:lang w:val="fr-FR"/>
        </w:rPr>
      </w:pPr>
    </w:p>
    <w:p w14:paraId="0ADCAEAF">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lang w:val="fr-FR"/>
        </w:rPr>
        <w:instrText xml:space="preserve"> FORMTEXT </w:instrText>
      </w:r>
      <w:r>
        <w:rPr>
          <w:rFonts w:eastAsia="黑体"/>
          <w:szCs w:val="28"/>
        </w:rPr>
        <w:fldChar w:fldCharType="separate"/>
      </w:r>
      <w:r>
        <w:rPr>
          <w:rFonts w:eastAsia="黑体"/>
          <w:szCs w:val="28"/>
          <w:lang w:val="fr-FR"/>
        </w:rPr>
        <w:t>Terminology and classification of premade cuisine</w:t>
      </w:r>
      <w:r>
        <w:rPr>
          <w:rFonts w:eastAsia="黑体"/>
          <w:szCs w:val="28"/>
        </w:rPr>
        <w:fldChar w:fldCharType="end"/>
      </w:r>
      <w:bookmarkEnd w:id="8"/>
    </w:p>
    <w:p w14:paraId="4F261A5C">
      <w:pPr>
        <w:framePr w:w="9639" w:h="6974" w:hRule="exact" w:wrap="around" w:vAnchor="page" w:hAnchor="page" w:x="1419" w:y="6408" w:anchorLock="1"/>
        <w:spacing w:line="760" w:lineRule="exact"/>
        <w:ind w:left="-1418"/>
        <w:rPr>
          <w:lang w:val="fr-FR"/>
        </w:rPr>
      </w:pPr>
    </w:p>
    <w:p w14:paraId="03CE0A66">
      <w:pPr>
        <w:pStyle w:val="12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lang w:val="fr-FR"/>
        </w:rPr>
        <w:instrText xml:space="preserve"> FORMTEXT </w:instrText>
      </w:r>
      <w:r>
        <w:rPr>
          <w:rFonts w:eastAsia="黑体"/>
          <w:szCs w:val="28"/>
        </w:rPr>
        <w:fldChar w:fldCharType="separate"/>
      </w:r>
      <w:r>
        <w:rPr>
          <w:rFonts w:hint="eastAsia" w:eastAsia="黑体"/>
          <w:szCs w:val="28"/>
          <w:lang w:val="fr-FR"/>
        </w:rPr>
        <w:t>(</w:t>
      </w:r>
      <w:r>
        <w:rPr>
          <w:rFonts w:hint="eastAsia" w:eastAsia="黑体"/>
          <w:szCs w:val="28"/>
        </w:rPr>
        <w:t>点击此处添加与国际标准一致性程度的标识</w:t>
      </w:r>
      <w:r>
        <w:rPr>
          <w:rFonts w:hint="eastAsia" w:eastAsia="黑体"/>
          <w:szCs w:val="28"/>
          <w:lang w:val="fr-FR"/>
        </w:rPr>
        <w:t>)</w:t>
      </w:r>
      <w:r>
        <w:rPr>
          <w:rFonts w:eastAsia="黑体"/>
          <w:szCs w:val="28"/>
        </w:rPr>
        <w:fldChar w:fldCharType="end"/>
      </w:r>
      <w:bookmarkEnd w:id="9"/>
    </w:p>
    <w:p w14:paraId="1271AFC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2E70BB5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35CF908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76E7A2E4">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2F60F299">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547B578">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1B0986ED">
      <w:pPr>
        <w:pStyle w:val="91"/>
        <w:spacing w:before="560" w:after="468"/>
      </w:pPr>
      <w:bookmarkStart w:id="19" w:name="BookMark1"/>
      <w:bookmarkStart w:id="20" w:name="_Toc172716570"/>
      <w:bookmarkStart w:id="21" w:name="_Toc15417"/>
      <w:bookmarkStart w:id="22" w:name="_Toc170400048"/>
      <w:r>
        <w:rPr>
          <w:rFonts w:hint="eastAsia"/>
          <w:spacing w:val="320"/>
        </w:rPr>
        <w:t>目</w:t>
      </w:r>
      <w:r>
        <w:rPr>
          <w:rFonts w:hint="eastAsia"/>
        </w:rPr>
        <w:t>次</w:t>
      </w:r>
    </w:p>
    <w:p w14:paraId="5789ECC4">
      <w:pPr>
        <w:pStyle w:val="19"/>
        <w:tabs>
          <w:tab w:val="right" w:leader="dot" w:pos="9354"/>
        </w:tabs>
        <w:rPr>
          <w:rFonts w:hint="eastAsia" w:hAnsi="宋体" w:cs="宋体"/>
        </w:rPr>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fldChar w:fldCharType="begin"/>
      </w:r>
      <w:r>
        <w:instrText xml:space="preserve"> HYPERLINK \l "_Toc469" </w:instrText>
      </w:r>
      <w:r>
        <w:fldChar w:fldCharType="separate"/>
      </w:r>
      <w:r>
        <w:rPr>
          <w:rFonts w:hint="eastAsia" w:hAnsi="宋体" w:cs="宋体"/>
        </w:rPr>
        <w:t>前言</w:t>
      </w:r>
      <w:r>
        <w:rPr>
          <w:rFonts w:hint="eastAsia" w:hAnsi="宋体" w:cs="宋体"/>
        </w:rPr>
        <w:tab/>
      </w:r>
      <w:r>
        <w:rPr>
          <w:rFonts w:hint="eastAsia" w:hAnsi="宋体" w:cs="宋体"/>
        </w:rPr>
        <w:fldChar w:fldCharType="begin"/>
      </w:r>
      <w:r>
        <w:rPr>
          <w:rFonts w:hint="eastAsia" w:hAnsi="宋体" w:cs="宋体"/>
        </w:rPr>
        <w:instrText xml:space="preserve"> PAGEREF _Toc469 \h </w:instrText>
      </w:r>
      <w:r>
        <w:rPr>
          <w:rFonts w:hint="eastAsia" w:hAnsi="宋体" w:cs="宋体"/>
        </w:rPr>
        <w:fldChar w:fldCharType="separate"/>
      </w:r>
      <w:r>
        <w:rPr>
          <w:rFonts w:hint="eastAsia" w:hAnsi="宋体" w:cs="宋体"/>
        </w:rPr>
        <w:t>II</w:t>
      </w:r>
      <w:r>
        <w:rPr>
          <w:rFonts w:hint="eastAsia" w:hAnsi="宋体" w:cs="宋体"/>
        </w:rPr>
        <w:fldChar w:fldCharType="end"/>
      </w:r>
      <w:r>
        <w:rPr>
          <w:rFonts w:hint="eastAsia" w:hAnsi="宋体" w:cs="宋体"/>
        </w:rPr>
        <w:fldChar w:fldCharType="end"/>
      </w:r>
    </w:p>
    <w:p w14:paraId="614CFDA8">
      <w:pPr>
        <w:pStyle w:val="19"/>
        <w:tabs>
          <w:tab w:val="right" w:leader="dot" w:pos="9354"/>
        </w:tabs>
        <w:rPr>
          <w:rFonts w:hint="eastAsia" w:hAnsi="宋体" w:cs="宋体"/>
        </w:rPr>
      </w:pPr>
      <w:r>
        <w:fldChar w:fldCharType="begin"/>
      </w:r>
      <w:r>
        <w:instrText xml:space="preserve"> HYPERLINK \l "_Toc31"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_Toc31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61AC09CB">
      <w:pPr>
        <w:pStyle w:val="19"/>
        <w:tabs>
          <w:tab w:val="right" w:leader="dot" w:pos="9354"/>
        </w:tabs>
        <w:rPr>
          <w:rFonts w:hint="eastAsia" w:hAnsi="宋体" w:cs="宋体"/>
        </w:rPr>
      </w:pPr>
      <w:r>
        <w:fldChar w:fldCharType="begin"/>
      </w:r>
      <w:r>
        <w:instrText xml:space="preserve"> HYPERLINK \l "_Toc10108"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_Toc10108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2000A2F0">
      <w:pPr>
        <w:pStyle w:val="19"/>
        <w:tabs>
          <w:tab w:val="right" w:leader="dot" w:pos="9354"/>
        </w:tabs>
        <w:rPr>
          <w:rFonts w:hint="eastAsia" w:hAnsi="宋体" w:cs="宋体"/>
        </w:rPr>
      </w:pPr>
      <w:r>
        <w:fldChar w:fldCharType="begin"/>
      </w:r>
      <w:r>
        <w:instrText xml:space="preserve"> HYPERLINK \l "_Toc3623"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_Toc3623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hAnsi="宋体" w:cs="宋体"/>
        </w:rPr>
        <w:fldChar w:fldCharType="end"/>
      </w:r>
    </w:p>
    <w:p w14:paraId="5377A422">
      <w:pPr>
        <w:pStyle w:val="19"/>
        <w:tabs>
          <w:tab w:val="right" w:leader="dot" w:pos="9354"/>
        </w:tabs>
        <w:rPr>
          <w:rFonts w:hint="eastAsia" w:hAnsi="宋体" w:cs="宋体"/>
        </w:rPr>
      </w:pPr>
      <w:r>
        <w:fldChar w:fldCharType="begin"/>
      </w:r>
      <w:r>
        <w:instrText xml:space="preserve"> HYPERLINK \l "_Toc14738" </w:instrText>
      </w:r>
      <w:r>
        <w:fldChar w:fldCharType="separate"/>
      </w:r>
      <w:r>
        <w:rPr>
          <w:rFonts w:hint="eastAsia" w:hAnsi="宋体" w:cs="宋体"/>
        </w:rPr>
        <w:t>4  分类原则</w:t>
      </w:r>
      <w:r>
        <w:rPr>
          <w:rFonts w:hint="eastAsia" w:hAnsi="宋体" w:cs="宋体"/>
        </w:rPr>
        <w:tab/>
      </w:r>
      <w:r>
        <w:rPr>
          <w:rFonts w:hint="eastAsia" w:hAnsi="宋体" w:cs="宋体"/>
        </w:rPr>
        <w:fldChar w:fldCharType="begin"/>
      </w:r>
      <w:r>
        <w:rPr>
          <w:rFonts w:hint="eastAsia" w:hAnsi="宋体" w:cs="宋体"/>
        </w:rPr>
        <w:instrText xml:space="preserve"> PAGEREF _Toc14738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2FE0891D">
      <w:pPr>
        <w:pStyle w:val="19"/>
        <w:tabs>
          <w:tab w:val="right" w:leader="dot" w:pos="9354"/>
        </w:tabs>
        <w:rPr>
          <w:rFonts w:hint="eastAsia" w:hAnsi="宋体" w:cs="宋体"/>
        </w:rPr>
      </w:pPr>
      <w:r>
        <w:fldChar w:fldCharType="begin"/>
      </w:r>
      <w:r>
        <w:instrText xml:space="preserve"> HYPERLINK \l "_Toc30719" </w:instrText>
      </w:r>
      <w:r>
        <w:fldChar w:fldCharType="separate"/>
      </w:r>
      <w:r>
        <w:rPr>
          <w:rFonts w:hint="eastAsia" w:hAnsi="宋体" w:cs="宋体"/>
        </w:rPr>
        <w:t>5  分类类别</w:t>
      </w:r>
      <w:r>
        <w:rPr>
          <w:rFonts w:hint="eastAsia" w:hAnsi="宋体" w:cs="宋体"/>
        </w:rPr>
        <w:tab/>
      </w:r>
      <w:r>
        <w:rPr>
          <w:rFonts w:hint="eastAsia" w:hAnsi="宋体" w:cs="宋体"/>
        </w:rPr>
        <w:fldChar w:fldCharType="begin"/>
      </w:r>
      <w:r>
        <w:rPr>
          <w:rFonts w:hint="eastAsia" w:hAnsi="宋体" w:cs="宋体"/>
        </w:rPr>
        <w:instrText xml:space="preserve"> PAGEREF _Toc30719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53F8F26E">
      <w:pPr>
        <w:pStyle w:val="19"/>
        <w:tabs>
          <w:tab w:val="right" w:leader="dot" w:pos="9354"/>
        </w:tabs>
        <w:rPr>
          <w:rFonts w:hint="eastAsia" w:hAnsi="宋体" w:cs="宋体"/>
        </w:rPr>
      </w:pPr>
      <w:r>
        <w:fldChar w:fldCharType="begin"/>
      </w:r>
      <w:r>
        <w:instrText xml:space="preserve"> HYPERLINK \l "_Toc7643" </w:instrText>
      </w:r>
      <w:r>
        <w:fldChar w:fldCharType="separate"/>
      </w:r>
      <w:r>
        <w:rPr>
          <w:rFonts w:hint="eastAsia" w:hAnsi="宋体" w:cs="宋体"/>
        </w:rPr>
        <w:t>参考文献</w:t>
      </w:r>
      <w:r>
        <w:rPr>
          <w:rFonts w:hint="eastAsia" w:hAnsi="宋体" w:cs="宋体"/>
        </w:rPr>
        <w:tab/>
      </w:r>
      <w:r>
        <w:rPr>
          <w:rFonts w:hint="eastAsia" w:hAnsi="宋体" w:cs="宋体"/>
        </w:rPr>
        <w:fldChar w:fldCharType="begin"/>
      </w:r>
      <w:r>
        <w:rPr>
          <w:rFonts w:hint="eastAsia" w:hAnsi="宋体" w:cs="宋体"/>
        </w:rPr>
        <w:instrText xml:space="preserve"> PAGEREF _Toc7643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10793816">
      <w:pPr>
        <w:pStyle w:val="91"/>
        <w:spacing w:before="0" w:after="0" w:afterLines="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rPr>
        <w:fldChar w:fldCharType="end"/>
      </w:r>
    </w:p>
    <w:bookmarkEnd w:id="19"/>
    <w:p w14:paraId="15695A78">
      <w:pPr>
        <w:pStyle w:val="89"/>
        <w:spacing w:before="900" w:after="468"/>
      </w:pPr>
      <w:bookmarkStart w:id="23" w:name="_Toc469"/>
      <w:bookmarkStart w:id="24" w:name="BookMark2"/>
      <w:r>
        <w:rPr>
          <w:spacing w:val="320"/>
        </w:rPr>
        <w:t>前</w:t>
      </w:r>
      <w:r>
        <w:t>言</w:t>
      </w:r>
      <w:bookmarkEnd w:id="20"/>
      <w:bookmarkEnd w:id="21"/>
      <w:bookmarkEnd w:id="22"/>
      <w:bookmarkEnd w:id="23"/>
    </w:p>
    <w:p w14:paraId="05C06319">
      <w:pPr>
        <w:pStyle w:val="56"/>
        <w:ind w:firstLine="420"/>
      </w:pPr>
      <w:r>
        <w:rPr>
          <w:rFonts w:hint="eastAsia"/>
        </w:rPr>
        <w:t>本文件按照GB/T 1.1—2020《标准化工作导则 第1部分：标准化文件的结构和起草规则》的规定起草。</w:t>
      </w:r>
    </w:p>
    <w:p w14:paraId="40A65DB8">
      <w:pPr>
        <w:pStyle w:val="56"/>
        <w:ind w:firstLine="420"/>
      </w:pPr>
      <w:r>
        <w:rPr>
          <w:rFonts w:hint="eastAsia"/>
        </w:rPr>
        <w:t>请注意本文件的某些内容可能涉及专利。本文件的发布机构不承担识别专利的责任。</w:t>
      </w:r>
    </w:p>
    <w:p w14:paraId="71A7A66C">
      <w:pPr>
        <w:pStyle w:val="56"/>
        <w:ind w:firstLine="420"/>
      </w:pPr>
      <w:r>
        <w:rPr>
          <w:rFonts w:hint="eastAsia"/>
        </w:rPr>
        <w:t>本文件由全国食品工业标准化技术委员会（SAC/TC64）提出</w:t>
      </w:r>
      <w:r>
        <w:rPr>
          <w:rFonts w:hint="eastAsia"/>
          <w:lang w:val="en-US" w:eastAsia="zh-CN"/>
        </w:rPr>
        <w:t>并</w:t>
      </w:r>
      <w:r>
        <w:rPr>
          <w:rFonts w:hint="eastAsia"/>
        </w:rPr>
        <w:t>归口。</w:t>
      </w:r>
    </w:p>
    <w:p w14:paraId="47A8835B">
      <w:pPr>
        <w:pStyle w:val="56"/>
        <w:ind w:firstLine="420"/>
        <w:rPr>
          <w:highlight w:val="none"/>
        </w:rPr>
      </w:pPr>
      <w:r>
        <w:rPr>
          <w:rFonts w:hint="eastAsia"/>
          <w:highlight w:val="none"/>
        </w:rPr>
        <w:t>本文件起草单位：中国标准化研究院、中轻食品工业管理中心、山东省质量技术审查评价中心有限公司、食品</w:t>
      </w:r>
      <w:r>
        <w:rPr>
          <w:rFonts w:hint="eastAsia"/>
          <w:highlight w:val="none"/>
          <w:lang w:eastAsia="zh-CN"/>
        </w:rPr>
        <w:t>行业</w:t>
      </w:r>
      <w:r>
        <w:rPr>
          <w:rFonts w:hint="eastAsia"/>
          <w:highlight w:val="none"/>
        </w:rPr>
        <w:t>生产力促进中心</w:t>
      </w:r>
      <w:r>
        <w:rPr>
          <w:rFonts w:hint="eastAsia"/>
          <w:highlight w:val="none"/>
          <w:lang w:eastAsia="zh-CN"/>
        </w:rPr>
        <w:t>、深圳市标准技术研究院、中国农业大学、四川轻化工大学、中国农业科学院农产品加工研究所、北京工商大学、北京市食品检验研究院、中国肉类食品综合研究中心、中国商业联合会、中国食品工业协会、中国食品科学技术学会、中国物流</w:t>
      </w:r>
      <w:r>
        <w:rPr>
          <w:rFonts w:hint="eastAsia"/>
          <w:highlight w:val="none"/>
          <w:lang w:val="en-US" w:eastAsia="zh-CN"/>
        </w:rPr>
        <w:t>与</w:t>
      </w:r>
      <w:r>
        <w:rPr>
          <w:rFonts w:hint="eastAsia"/>
          <w:highlight w:val="none"/>
          <w:lang w:eastAsia="zh-CN"/>
        </w:rPr>
        <w:t>采购联合会、中国肉类协会、中国水产流通与加工协会、中国连锁经营协会。</w:t>
      </w:r>
    </w:p>
    <w:p w14:paraId="26C4194B">
      <w:pPr>
        <w:pStyle w:val="56"/>
        <w:ind w:firstLine="420"/>
        <w:rPr>
          <w:rFonts w:hint="eastAsia"/>
          <w:highlight w:val="none"/>
          <w:lang w:eastAsia="zh-CN"/>
        </w:rPr>
      </w:pPr>
      <w:r>
        <w:rPr>
          <w:rFonts w:hint="eastAsia"/>
          <w:highlight w:val="none"/>
          <w:lang w:eastAsia="zh-CN"/>
        </w:rPr>
        <w:t>本文件主要起草人：刘鹏、云振宇、杨晓明、年益莹、戴岳、</w:t>
      </w:r>
      <w:r>
        <w:rPr>
          <w:rFonts w:hint="eastAsia"/>
          <w:highlight w:val="none"/>
          <w:lang w:val="en-US" w:eastAsia="zh-CN"/>
        </w:rPr>
        <w:t>毕玉琦、</w:t>
      </w:r>
      <w:r>
        <w:rPr>
          <w:rFonts w:hint="eastAsia"/>
          <w:highlight w:val="none"/>
          <w:lang w:eastAsia="zh-CN"/>
        </w:rPr>
        <w:t>屠振华、</w:t>
      </w:r>
      <w:r>
        <w:rPr>
          <w:rFonts w:hint="eastAsia"/>
          <w:highlight w:val="none"/>
          <w:lang w:val="en-US" w:eastAsia="zh-CN"/>
        </w:rPr>
        <w:t>王科、</w:t>
      </w:r>
      <w:r>
        <w:rPr>
          <w:rFonts w:hint="eastAsia"/>
          <w:highlight w:val="none"/>
          <w:lang w:eastAsia="zh-CN"/>
        </w:rPr>
        <w:t>廖小军、</w:t>
      </w:r>
      <w:r>
        <w:rPr>
          <w:rFonts w:hint="eastAsia"/>
          <w:highlight w:val="none"/>
          <w:lang w:val="en-US" w:eastAsia="zh-CN"/>
        </w:rPr>
        <w:t>赵志峰、高鹏、</w:t>
      </w:r>
      <w:r>
        <w:rPr>
          <w:rFonts w:hint="eastAsia"/>
          <w:highlight w:val="none"/>
          <w:lang w:eastAsia="zh-CN"/>
        </w:rPr>
        <w:t>张春晖、王静、</w:t>
      </w:r>
      <w:r>
        <w:rPr>
          <w:rFonts w:hint="eastAsia"/>
          <w:highlight w:val="none"/>
          <w:lang w:val="en-US" w:eastAsia="zh-CN"/>
        </w:rPr>
        <w:t>赵靓、史娜、赵冰、</w:t>
      </w:r>
      <w:r>
        <w:rPr>
          <w:rFonts w:hint="eastAsia"/>
          <w:highlight w:val="none"/>
          <w:lang w:eastAsia="zh-CN"/>
        </w:rPr>
        <w:t>刘振宇、李远驰、</w:t>
      </w:r>
      <w:r>
        <w:rPr>
          <w:rFonts w:hint="eastAsia"/>
          <w:highlight w:val="none"/>
          <w:lang w:val="en-US" w:eastAsia="zh-CN"/>
        </w:rPr>
        <w:t>梁晋鄂、刘昊宇、于凤龙、刘蕾、张李浩、孙工贺。</w:t>
      </w:r>
    </w:p>
    <w:p w14:paraId="4C0B26EA">
      <w:pPr>
        <w:pStyle w:val="56"/>
        <w:ind w:firstLine="420"/>
        <w:rPr>
          <w:rFonts w:hint="eastAsia"/>
          <w:highlight w:val="none"/>
          <w:lang w:eastAsia="zh-CN"/>
        </w:rPr>
      </w:pPr>
    </w:p>
    <w:p w14:paraId="62E0C296">
      <w:pPr>
        <w:pStyle w:val="56"/>
        <w:ind w:firstLine="420"/>
      </w:pPr>
    </w:p>
    <w:p w14:paraId="6395DDB1">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0766AA0B">
      <w:pPr>
        <w:spacing w:line="20" w:lineRule="exact"/>
        <w:jc w:val="center"/>
        <w:rPr>
          <w:rFonts w:hint="eastAsia" w:ascii="黑体" w:hAnsi="黑体" w:eastAsia="黑体"/>
          <w:sz w:val="32"/>
          <w:szCs w:val="32"/>
        </w:rPr>
      </w:pPr>
      <w:bookmarkStart w:id="25" w:name="BookMark4"/>
    </w:p>
    <w:p w14:paraId="08961A34">
      <w:pPr>
        <w:spacing w:line="20" w:lineRule="exact"/>
        <w:jc w:val="center"/>
        <w:rPr>
          <w:rFonts w:hint="eastAsia" w:ascii="黑体" w:hAnsi="黑体" w:eastAsia="黑体"/>
          <w:sz w:val="32"/>
          <w:szCs w:val="32"/>
        </w:rPr>
      </w:pPr>
    </w:p>
    <w:sdt>
      <w:sdtPr>
        <w:tag w:val="NEW_STAND_NAME"/>
        <w:id w:val="595910757"/>
        <w:lock w:val="sdtLocked"/>
        <w:placeholder>
          <w:docPart w:val="62F901F892454B889F9938A29A044210"/>
        </w:placeholder>
      </w:sdtPr>
      <w:sdtContent>
        <w:p w14:paraId="0177E4D5">
          <w:pPr>
            <w:pStyle w:val="177"/>
            <w:spacing w:before="312" w:beforeLines="100" w:after="686" w:afterLines="220"/>
            <w:rPr>
              <w:rFonts w:hint="eastAsia"/>
            </w:rPr>
          </w:pPr>
          <w:bookmarkStart w:id="26" w:name="NEW_STAND_NAME"/>
          <w:r>
            <w:rPr>
              <w:rFonts w:hint="eastAsia"/>
            </w:rPr>
            <w:t>预制菜术语和分类</w:t>
          </w:r>
        </w:p>
      </w:sdtContent>
    </w:sdt>
    <w:bookmarkEnd w:id="26"/>
    <w:p w14:paraId="6F926BBC">
      <w:pPr>
        <w:pStyle w:val="104"/>
        <w:spacing w:before="312" w:after="312"/>
      </w:pPr>
      <w:bookmarkStart w:id="27" w:name="_Toc26986530"/>
      <w:bookmarkStart w:id="28" w:name="_Toc26718930"/>
      <w:bookmarkStart w:id="29" w:name="_Toc172716571"/>
      <w:bookmarkStart w:id="30" w:name="_Toc170400049"/>
      <w:bookmarkStart w:id="31" w:name="_Toc26648465"/>
      <w:bookmarkStart w:id="32" w:name="_Toc17233325"/>
      <w:bookmarkStart w:id="33" w:name="_Toc16854"/>
      <w:bookmarkStart w:id="34" w:name="_Toc97190718"/>
      <w:bookmarkStart w:id="35" w:name="_Toc24884211"/>
      <w:bookmarkStart w:id="36" w:name="_Toc31"/>
      <w:bookmarkStart w:id="37" w:name="_Toc24884218"/>
      <w:bookmarkStart w:id="38" w:name="_Toc17233333"/>
      <w:bookmarkStart w:id="39" w:name="_Toc2698677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14:paraId="5F3BF984">
      <w:pPr>
        <w:pStyle w:val="56"/>
        <w:ind w:firstLine="420"/>
      </w:pPr>
      <w:bookmarkStart w:id="40" w:name="_Toc26648466"/>
      <w:bookmarkStart w:id="41" w:name="_Toc17233334"/>
      <w:bookmarkStart w:id="42" w:name="_Toc24884212"/>
      <w:bookmarkStart w:id="43" w:name="_Toc24884219"/>
      <w:bookmarkStart w:id="44" w:name="_Toc17233326"/>
      <w:r>
        <w:rPr>
          <w:rFonts w:hint="eastAsia"/>
        </w:rPr>
        <w:t>本文件界定了预制菜相关术语，给出了预制菜的分类原则、分类类别。</w:t>
      </w:r>
    </w:p>
    <w:p w14:paraId="13D64B04">
      <w:pPr>
        <w:pStyle w:val="56"/>
        <w:ind w:firstLine="420"/>
        <w:rPr>
          <w:rFonts w:hint="eastAsia"/>
        </w:rPr>
      </w:pPr>
      <w:r>
        <w:rPr>
          <w:rFonts w:hint="eastAsia"/>
        </w:rPr>
        <w:t>本文件适用于预制菜的生产</w:t>
      </w:r>
      <w:r>
        <w:rPr>
          <w:rFonts w:hint="eastAsia"/>
          <w:lang w:val="en-US" w:eastAsia="zh-CN"/>
        </w:rPr>
        <w:t>和</w:t>
      </w:r>
      <w:r>
        <w:rPr>
          <w:rFonts w:hint="eastAsia"/>
        </w:rPr>
        <w:t>经营。</w:t>
      </w:r>
    </w:p>
    <w:p w14:paraId="1AE029D4">
      <w:pPr>
        <w:pStyle w:val="56"/>
        <w:ind w:firstLine="420"/>
      </w:pPr>
      <w:r>
        <w:rPr>
          <w:rFonts w:hint="eastAsia"/>
          <w:lang w:val="en-US" w:eastAsia="zh-CN"/>
        </w:rPr>
        <w:t>本文件</w:t>
      </w:r>
      <w:r>
        <w:rPr>
          <w:rFonts w:hint="eastAsia"/>
        </w:rPr>
        <w:t>不适用于主食类食品、净菜类食品、即食类食品、中央厨房制作的菜肴。</w:t>
      </w:r>
    </w:p>
    <w:p w14:paraId="24B15A92">
      <w:pPr>
        <w:pStyle w:val="104"/>
        <w:spacing w:before="312" w:after="312"/>
      </w:pPr>
      <w:bookmarkStart w:id="45" w:name="_Toc97190719"/>
      <w:bookmarkStart w:id="46" w:name="_Toc10108"/>
      <w:bookmarkStart w:id="47" w:name="_Toc26718931"/>
      <w:bookmarkStart w:id="48" w:name="_Toc170400050"/>
      <w:bookmarkStart w:id="49" w:name="_Toc172716572"/>
      <w:bookmarkStart w:id="50" w:name="_Toc20797"/>
      <w:bookmarkStart w:id="51" w:name="_Toc26986531"/>
      <w:bookmarkStart w:id="52"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946BEDCC7E1744C5ACEC7919B6C921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2EC617D">
          <w:pPr>
            <w:pStyle w:val="56"/>
            <w:ind w:firstLine="420"/>
          </w:pPr>
          <w:r>
            <w:rPr>
              <w:rFonts w:hint="eastAsia"/>
            </w:rPr>
            <w:t>本文件没有规范性引用文件。</w:t>
          </w:r>
        </w:p>
      </w:sdtContent>
    </w:sdt>
    <w:p w14:paraId="1847E4CE">
      <w:pPr>
        <w:pStyle w:val="104"/>
        <w:spacing w:before="312" w:after="312"/>
      </w:pPr>
      <w:bookmarkStart w:id="53" w:name="_Toc172716573"/>
      <w:bookmarkStart w:id="54" w:name="_Toc16256"/>
      <w:bookmarkStart w:id="55" w:name="_Toc3623"/>
      <w:bookmarkStart w:id="56" w:name="_Toc97190720"/>
      <w:bookmarkStart w:id="57" w:name="_Toc170400051"/>
      <w:r>
        <w:rPr>
          <w:rFonts w:hint="eastAsia"/>
          <w:szCs w:val="21"/>
        </w:rPr>
        <w:t>术语和定义</w:t>
      </w:r>
      <w:bookmarkEnd w:id="53"/>
      <w:bookmarkEnd w:id="54"/>
      <w:bookmarkEnd w:id="55"/>
      <w:bookmarkEnd w:id="56"/>
      <w:bookmarkEnd w:id="57"/>
    </w:p>
    <w:sdt>
      <w:sdtPr>
        <w:id w:val="-1909835108"/>
        <w:placeholder>
          <w:docPart w:val="946BEDCC7E1744C5ACEC7919B6C9211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217FAD">
          <w:pPr>
            <w:pStyle w:val="56"/>
            <w:ind w:firstLine="420"/>
          </w:pPr>
          <w:bookmarkStart w:id="58" w:name="_Toc26986532"/>
          <w:bookmarkEnd w:id="58"/>
          <w:r>
            <w:t>下列术语和定义适用于本文件。</w:t>
          </w:r>
        </w:p>
      </w:sdtContent>
    </w:sdt>
    <w:p w14:paraId="352BE0F5">
      <w:pPr>
        <w:pStyle w:val="105"/>
        <w:spacing w:before="156" w:after="156"/>
      </w:pPr>
      <w:bookmarkStart w:id="59" w:name="_Toc170400052"/>
      <w:bookmarkStart w:id="60" w:name="_Toc163057625"/>
      <w:bookmarkStart w:id="61" w:name="_Toc163379383"/>
      <w:bookmarkStart w:id="62" w:name="_Toc165994512"/>
      <w:bookmarkStart w:id="63" w:name="_Toc165993839"/>
      <w:bookmarkStart w:id="64" w:name="_Toc164930854"/>
      <w:bookmarkStart w:id="65" w:name="_Toc166073947"/>
      <w:bookmarkStart w:id="66" w:name="_Toc172716574"/>
      <w:bookmarkStart w:id="67" w:name="_Toc164930731"/>
      <w:bookmarkStart w:id="68" w:name="_Toc163833820"/>
      <w:bookmarkStart w:id="69" w:name="_Toc163833051"/>
      <w:bookmarkStart w:id="70" w:name="_Toc165986107"/>
      <w:bookmarkStart w:id="71" w:name="_Toc166073125"/>
      <w:bookmarkStart w:id="72" w:name="_Toc164692437"/>
      <w:r>
        <w:rPr>
          <w:rFonts w:hint="eastAsia"/>
        </w:rPr>
        <w:t>一般术语</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F61F5A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预制菜 premade</w:t>
      </w:r>
      <w:r>
        <w:rPr>
          <w:rFonts w:ascii="黑体" w:hAnsi="黑体" w:eastAsia="黑体"/>
        </w:rPr>
        <w:t xml:space="preserve"> cuisine</w:t>
      </w:r>
    </w:p>
    <w:p w14:paraId="1C1AC7CD">
      <w:pPr>
        <w:pStyle w:val="224"/>
        <w:numPr>
          <w:ilvl w:val="0"/>
          <w:numId w:val="0"/>
        </w:numPr>
        <w:ind w:left="420"/>
        <w:rPr>
          <w:rFonts w:hint="eastAsia" w:ascii="黑体" w:hAnsi="黑体" w:eastAsia="黑体"/>
        </w:rPr>
      </w:pPr>
      <w:r>
        <w:rPr>
          <w:rFonts w:hint="eastAsia" w:ascii="黑体" w:hAnsi="黑体" w:eastAsia="黑体"/>
        </w:rPr>
        <w:t>预制菜肴</w:t>
      </w:r>
      <w:r>
        <w:rPr>
          <w:rFonts w:ascii="黑体" w:hAnsi="黑体" w:eastAsia="黑体"/>
        </w:rPr>
        <w:t xml:space="preserve"> premade cuisine</w:t>
      </w:r>
    </w:p>
    <w:p w14:paraId="4A6FCC87">
      <w:pPr>
        <w:pStyle w:val="56"/>
        <w:ind w:firstLine="420"/>
        <w:rPr>
          <w:rFonts w:hint="default" w:eastAsia="宋体"/>
          <w:lang w:val="en-US" w:eastAsia="zh-CN"/>
        </w:rPr>
      </w:pPr>
      <w:r>
        <w:rPr>
          <w:rFonts w:hint="eastAsia"/>
        </w:rPr>
        <w:t>以一种或多种食用农产品及其制品为原料，使用或不使用调味料等辅料，不添加防腐剂，经工业化预加工（如搅拌、腌制、滚揉、成型、炒、炸、烤、煮、蒸等）制成，配以或不配以调味料包，加热或熟制后方可食用的预包装菜肴产品。</w:t>
      </w:r>
      <w:r>
        <w:rPr>
          <w:rFonts w:hint="eastAsia"/>
          <w:lang w:val="en-US" w:eastAsia="zh-CN"/>
        </w:rPr>
        <w:t>不包括主食类食品、净菜类食品、即食类食品和中央厨房制作的菜肴。</w:t>
      </w:r>
    </w:p>
    <w:p w14:paraId="3E0634B4">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原料 raw</w:t>
      </w:r>
      <w:r>
        <w:rPr>
          <w:rFonts w:ascii="黑体" w:hAnsi="黑体" w:eastAsia="黑体"/>
        </w:rPr>
        <w:t xml:space="preserve"> </w:t>
      </w:r>
      <w:r>
        <w:rPr>
          <w:rFonts w:hint="eastAsia" w:ascii="黑体" w:hAnsi="黑体" w:eastAsia="黑体"/>
        </w:rPr>
        <w:t>material</w:t>
      </w:r>
    </w:p>
    <w:p w14:paraId="0F20B92E">
      <w:pPr>
        <w:pStyle w:val="56"/>
        <w:ind w:firstLine="420"/>
      </w:pPr>
      <w:r>
        <w:rPr>
          <w:rFonts w:hint="eastAsia"/>
        </w:rPr>
        <w:t>加工食品时使用的原始物料。</w:t>
      </w:r>
    </w:p>
    <w:p w14:paraId="756CE0B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辅料 additional</w:t>
      </w:r>
      <w:r>
        <w:rPr>
          <w:rFonts w:ascii="黑体" w:hAnsi="黑体" w:eastAsia="黑体"/>
        </w:rPr>
        <w:t xml:space="preserve"> ingredients</w:t>
      </w:r>
    </w:p>
    <w:p w14:paraId="6CF6BA5A">
      <w:pPr>
        <w:pStyle w:val="56"/>
        <w:ind w:firstLine="420"/>
      </w:pPr>
      <w:r>
        <w:rPr>
          <w:rFonts w:hint="eastAsia"/>
        </w:rPr>
        <w:t>加工食品时使用的起辅助作用的一种或多种物料。</w:t>
      </w:r>
    </w:p>
    <w:p w14:paraId="50580D19">
      <w:pPr>
        <w:pStyle w:val="224"/>
        <w:ind w:left="422" w:hanging="422" w:hangingChars="200"/>
        <w:rPr>
          <w:rFonts w:hint="eastAsia" w:ascii="黑体" w:hAnsi="黑体" w:eastAsia="黑体"/>
          <w:b/>
          <w:bCs/>
        </w:rPr>
      </w:pPr>
      <w:r>
        <w:rPr>
          <w:rFonts w:ascii="黑体" w:hAnsi="黑体" w:eastAsia="黑体"/>
          <w:b/>
          <w:bCs/>
        </w:rPr>
        <w:br w:type="textWrapping"/>
      </w:r>
      <w:r>
        <w:rPr>
          <w:rFonts w:hint="eastAsia" w:ascii="黑体" w:hAnsi="黑体" w:eastAsia="黑体"/>
        </w:rPr>
        <w:t>调味料</w:t>
      </w:r>
      <w:r>
        <w:rPr>
          <w:rFonts w:ascii="黑体" w:hAnsi="黑体" w:eastAsia="黑体"/>
        </w:rPr>
        <w:t xml:space="preserve"> condiment</w:t>
      </w:r>
    </w:p>
    <w:p w14:paraId="5CFB6267">
      <w:pPr>
        <w:pStyle w:val="56"/>
        <w:ind w:firstLine="420"/>
      </w:pPr>
      <w:r>
        <w:rPr>
          <w:rFonts w:hint="eastAsia"/>
        </w:rPr>
        <w:t>在食品加工及烹调过程中广泛使用的，用以增香、调配滋味和气味、去除异味的一类辅助食品。</w:t>
      </w:r>
    </w:p>
    <w:p w14:paraId="32FAFFF5">
      <w:pPr>
        <w:pStyle w:val="224"/>
        <w:ind w:left="422" w:hanging="422" w:hangingChars="200"/>
        <w:rPr>
          <w:rFonts w:hint="eastAsia" w:ascii="黑体" w:hAnsi="黑体" w:eastAsia="黑体"/>
          <w:b/>
          <w:bCs/>
        </w:rPr>
      </w:pPr>
      <w:r>
        <w:rPr>
          <w:rFonts w:ascii="黑体" w:hAnsi="黑体" w:eastAsia="黑体"/>
          <w:b/>
          <w:bCs/>
        </w:rPr>
        <w:br w:type="textWrapping"/>
      </w:r>
      <w:r>
        <w:rPr>
          <w:rFonts w:hint="eastAsia" w:ascii="黑体" w:hAnsi="黑体" w:eastAsia="黑体"/>
        </w:rPr>
        <w:t>防腐剂</w:t>
      </w:r>
      <w:r>
        <w:rPr>
          <w:rFonts w:ascii="黑体" w:hAnsi="黑体" w:eastAsia="黑体"/>
        </w:rPr>
        <w:t xml:space="preserve"> preservatives</w:t>
      </w:r>
    </w:p>
    <w:p w14:paraId="623A1B1D">
      <w:pPr>
        <w:pStyle w:val="56"/>
        <w:ind w:firstLine="420"/>
      </w:pPr>
      <w:r>
        <w:rPr>
          <w:rFonts w:hint="eastAsia"/>
        </w:rPr>
        <w:t>防止食品腐败变质、延长食品储存期的物质。</w:t>
      </w:r>
    </w:p>
    <w:p w14:paraId="6A2F21D1">
      <w:pPr>
        <w:pStyle w:val="56"/>
        <w:ind w:firstLine="420"/>
      </w:pPr>
      <w:r>
        <w:rPr>
          <w:rFonts w:hint="eastAsia"/>
        </w:rPr>
        <w:t>[来源：</w:t>
      </w:r>
      <w:r>
        <w:t>GB 2760-2024</w:t>
      </w:r>
      <w:r>
        <w:rPr>
          <w:rFonts w:hint="eastAsia"/>
        </w:rPr>
        <w:t>，</w:t>
      </w:r>
      <w:r>
        <w:t>D.17]</w:t>
      </w:r>
    </w:p>
    <w:p w14:paraId="2D31398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加热 heating  </w:t>
      </w:r>
    </w:p>
    <w:p w14:paraId="54799BE8">
      <w:pPr>
        <w:pStyle w:val="56"/>
        <w:ind w:firstLine="420"/>
      </w:pPr>
      <w:r>
        <w:rPr>
          <w:rFonts w:hint="eastAsia"/>
        </w:rPr>
        <w:t>将已经预加工熟制的预制菜在食用前复热到适宜食用状态和温度的过程。</w:t>
      </w:r>
    </w:p>
    <w:p w14:paraId="58EA2F64">
      <w:pPr>
        <w:pStyle w:val="56"/>
        <w:ind w:firstLine="420"/>
        <w:rPr>
          <w:rFonts w:hint="eastAsia"/>
        </w:rPr>
      </w:pPr>
    </w:p>
    <w:p w14:paraId="585EEA46">
      <w:pPr>
        <w:pStyle w:val="105"/>
        <w:spacing w:before="156" w:after="156"/>
      </w:pPr>
      <w:bookmarkStart w:id="73" w:name="_Toc163057626"/>
      <w:bookmarkStart w:id="74" w:name="_Toc170400053"/>
      <w:bookmarkStart w:id="75" w:name="_Toc164930855"/>
      <w:bookmarkStart w:id="76" w:name="_Toc165993840"/>
      <w:bookmarkStart w:id="77" w:name="_Toc163833052"/>
      <w:bookmarkStart w:id="78" w:name="_Toc172716575"/>
      <w:bookmarkStart w:id="79" w:name="_Toc164930732"/>
      <w:bookmarkStart w:id="80" w:name="_Toc163379384"/>
      <w:bookmarkStart w:id="81" w:name="_Toc164692438"/>
      <w:bookmarkStart w:id="82" w:name="_Toc165994513"/>
      <w:bookmarkStart w:id="83" w:name="_Toc163833821"/>
      <w:bookmarkStart w:id="84" w:name="_Toc166073126"/>
      <w:bookmarkStart w:id="85" w:name="_Toc166073948"/>
      <w:bookmarkStart w:id="86" w:name="_Toc165986108"/>
      <w:r>
        <w:rPr>
          <w:rFonts w:hint="eastAsia"/>
        </w:rPr>
        <w:t>工艺术语</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C4E54D9">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工业化预加工</w:t>
      </w:r>
      <w:r>
        <w:rPr>
          <w:rFonts w:ascii="黑体" w:hAnsi="黑体" w:eastAsia="黑体"/>
        </w:rPr>
        <w:t xml:space="preserve"> industrial pre-processing </w:t>
      </w:r>
    </w:p>
    <w:p w14:paraId="7419E55E">
      <w:pPr>
        <w:pStyle w:val="56"/>
        <w:ind w:firstLine="420"/>
      </w:pPr>
      <w:r>
        <w:rPr>
          <w:rFonts w:hint="eastAsia"/>
        </w:rPr>
        <w:t>由取得食品生产许可的食品生产者采用标准化、机械化的方式对原料预处理后进行搅拌、腌制、滚揉、成型、烹饪/熟制、杀菌和包装等全部或部分加工处理的过程。</w:t>
      </w:r>
    </w:p>
    <w:p w14:paraId="20812D81">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分切</w:t>
      </w:r>
      <w:r>
        <w:rPr>
          <w:rFonts w:ascii="黑体" w:hAnsi="黑体" w:eastAsia="黑体"/>
        </w:rPr>
        <w:t xml:space="preserve"> slicing</w:t>
      </w:r>
    </w:p>
    <w:p w14:paraId="16BB6623">
      <w:pPr>
        <w:pStyle w:val="56"/>
        <w:ind w:firstLine="420"/>
      </w:pPr>
      <w:r>
        <w:rPr>
          <w:rFonts w:hint="eastAsia"/>
        </w:rPr>
        <w:t>将原料切成块（片、条、丁等）状或将原料按不同部位，去皮（骨）、分割成块（片、条、丁等）状的加工方法或工序。</w:t>
      </w:r>
    </w:p>
    <w:p w14:paraId="2E4A1000">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搅拌 mixing</w:t>
      </w:r>
    </w:p>
    <w:p w14:paraId="6A54AE2F">
      <w:pPr>
        <w:pStyle w:val="56"/>
        <w:ind w:firstLine="420"/>
      </w:pPr>
      <w:r>
        <w:rPr>
          <w:rFonts w:hint="eastAsia" w:hAnsi="宋体"/>
          <w:color w:val="000000"/>
          <w:szCs w:val="30"/>
        </w:rPr>
        <w:t>利用机械力、压缩空气或超声波，搅动、拌和物料，使之混和均匀、强化热交换</w:t>
      </w:r>
      <w:r>
        <w:rPr>
          <w:rFonts w:hint="eastAsia"/>
        </w:rPr>
        <w:t>的操作。</w:t>
      </w:r>
    </w:p>
    <w:p w14:paraId="4DAB2747">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滚揉 tumbling</w:t>
      </w:r>
    </w:p>
    <w:p w14:paraId="3A0E9F57">
      <w:pPr>
        <w:pStyle w:val="56"/>
        <w:ind w:firstLine="420"/>
      </w:pPr>
      <w:r>
        <w:rPr>
          <w:rFonts w:hint="eastAsia"/>
        </w:rPr>
        <w:t>将原料进行翻滚和揉搓，使加入的腌制剂、调味料等扩散的过程。</w:t>
      </w:r>
    </w:p>
    <w:p w14:paraId="5E03B08F">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成型</w:t>
      </w:r>
      <w:r>
        <w:rPr>
          <w:rFonts w:ascii="黑体" w:hAnsi="黑体" w:eastAsia="黑体"/>
        </w:rPr>
        <w:t xml:space="preserve"> molding</w:t>
      </w:r>
    </w:p>
    <w:p w14:paraId="4E9943A0">
      <w:pPr>
        <w:pStyle w:val="56"/>
        <w:ind w:firstLine="420"/>
      </w:pPr>
      <w:r>
        <w:rPr>
          <w:rFonts w:hint="eastAsia"/>
        </w:rPr>
        <w:t>原料通过手工或专门设计的装置，经挤压、整形而加工出产品的过程。</w:t>
      </w:r>
    </w:p>
    <w:p w14:paraId="68C43D9E">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腌制</w:t>
      </w:r>
      <w:r>
        <w:rPr>
          <w:rFonts w:ascii="黑体" w:hAnsi="黑体" w:eastAsia="黑体"/>
        </w:rPr>
        <w:t xml:space="preserve"> pickling</w:t>
      </w:r>
    </w:p>
    <w:p w14:paraId="4B7CD733">
      <w:pPr>
        <w:pStyle w:val="56"/>
        <w:ind w:firstLine="420"/>
      </w:pPr>
      <w:r>
        <w:rPr>
          <w:rFonts w:hint="eastAsia"/>
        </w:rPr>
        <w:t>将原料粗加工后，加入调味料浸渍一定时间的加工方法。</w:t>
      </w:r>
    </w:p>
    <w:p w14:paraId="0F58A296">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炒制</w:t>
      </w:r>
      <w:r>
        <w:rPr>
          <w:rFonts w:ascii="黑体" w:hAnsi="黑体" w:eastAsia="黑体"/>
        </w:rPr>
        <w:t xml:space="preserve"> stir frying</w:t>
      </w:r>
    </w:p>
    <w:p w14:paraId="56620CEA">
      <w:pPr>
        <w:pStyle w:val="56"/>
        <w:ind w:firstLine="420"/>
      </w:pPr>
      <w:r>
        <w:rPr>
          <w:rFonts w:hint="eastAsia"/>
        </w:rPr>
        <w:t>加工容器内放入油，并对原料等连续翻动以均匀加热的加工方法。</w:t>
      </w:r>
    </w:p>
    <w:p w14:paraId="0A963E3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炸制 deep frying</w:t>
      </w:r>
    </w:p>
    <w:p w14:paraId="40DE3360">
      <w:pPr>
        <w:pStyle w:val="56"/>
        <w:ind w:firstLine="420"/>
      </w:pPr>
      <w:r>
        <w:rPr>
          <w:rFonts w:hint="eastAsia"/>
        </w:rPr>
        <w:t>将原料下入热油容器，以油作为传热介质的加工方法。</w:t>
      </w:r>
    </w:p>
    <w:p w14:paraId="2765D0D4">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烤制  roasting</w:t>
      </w:r>
    </w:p>
    <w:p w14:paraId="08091E86">
      <w:pPr>
        <w:pStyle w:val="56"/>
        <w:ind w:firstLine="420"/>
      </w:pPr>
      <w:r>
        <w:rPr>
          <w:rFonts w:hint="eastAsia"/>
        </w:rPr>
        <w:t>利用热传递方式，</w:t>
      </w:r>
      <w:r>
        <w:rPr>
          <w:rFonts w:hint="eastAsia" w:hAnsi="宋体"/>
          <w:color w:val="000000"/>
          <w:szCs w:val="30"/>
        </w:rPr>
        <w:t>使食品原料脱水、熟化</w:t>
      </w:r>
      <w:r>
        <w:rPr>
          <w:rFonts w:hint="eastAsia"/>
        </w:rPr>
        <w:t>的加工方法。</w:t>
      </w:r>
    </w:p>
    <w:p w14:paraId="60E4B56C">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煮制 boiling</w:t>
      </w:r>
    </w:p>
    <w:p w14:paraId="4110D9A9">
      <w:pPr>
        <w:pStyle w:val="56"/>
        <w:ind w:firstLine="420"/>
        <w:rPr>
          <w:b/>
          <w:bCs/>
        </w:rPr>
      </w:pPr>
      <w:r>
        <w:rPr>
          <w:rFonts w:hint="eastAsia" w:hAnsi="宋体"/>
          <w:color w:val="000000"/>
          <w:szCs w:val="21"/>
        </w:rPr>
        <w:t>在原料中加入水，添加或不添加辅料，对原料进行加热熟化</w:t>
      </w:r>
      <w:r>
        <w:rPr>
          <w:rFonts w:hint="eastAsia"/>
        </w:rPr>
        <w:t>的加工方法。</w:t>
      </w:r>
    </w:p>
    <w:p w14:paraId="3E7AF1AD">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蒸制 steaming</w:t>
      </w:r>
    </w:p>
    <w:p w14:paraId="0D96460E">
      <w:pPr>
        <w:pStyle w:val="56"/>
        <w:ind w:firstLine="420"/>
      </w:pPr>
      <w:r>
        <w:rPr>
          <w:rFonts w:hint="eastAsia"/>
        </w:rPr>
        <w:t>利用蒸汽在一定时间内使原料加热的加工方法。</w:t>
      </w:r>
    </w:p>
    <w:p w14:paraId="590A3025">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煎制 frying</w:t>
      </w:r>
    </w:p>
    <w:p w14:paraId="76E5E9F5">
      <w:pPr>
        <w:pStyle w:val="56"/>
        <w:ind w:firstLine="420"/>
        <w:rPr>
          <w:rFonts w:hint="eastAsia"/>
        </w:rPr>
      </w:pPr>
      <w:r>
        <w:rPr>
          <w:rFonts w:hint="eastAsia"/>
        </w:rPr>
        <w:t>将原料用油加热的加工方法。</w:t>
      </w:r>
    </w:p>
    <w:p w14:paraId="03606AAD">
      <w:pPr>
        <w:pStyle w:val="56"/>
        <w:ind w:firstLine="420"/>
        <w:rPr>
          <w:rFonts w:hint="eastAsia"/>
        </w:rPr>
      </w:pPr>
    </w:p>
    <w:p w14:paraId="6D4D5922">
      <w:pPr>
        <w:pStyle w:val="224"/>
        <w:ind w:left="420" w:hanging="420" w:hangingChars="200"/>
        <w:rPr>
          <w:rFonts w:hint="eastAsia" w:ascii="黑体" w:hAnsi="黑体" w:eastAsia="黑体"/>
        </w:rPr>
      </w:pPr>
    </w:p>
    <w:p w14:paraId="4B615461">
      <w:pPr>
        <w:pStyle w:val="224"/>
        <w:numPr>
          <w:ilvl w:val="0"/>
          <w:numId w:val="0"/>
        </w:numPr>
        <w:ind w:left="420"/>
        <w:rPr>
          <w:rFonts w:hint="eastAsia" w:ascii="黑体" w:hAnsi="黑体" w:eastAsia="黑体"/>
        </w:rPr>
      </w:pPr>
      <w:r>
        <w:rPr>
          <w:rFonts w:hint="eastAsia" w:ascii="黑体" w:hAnsi="黑体" w:eastAsia="黑体"/>
        </w:rPr>
        <w:t>熟制</w:t>
      </w:r>
      <w:r>
        <w:rPr>
          <w:rFonts w:ascii="黑体" w:hAnsi="黑体" w:eastAsia="黑体"/>
        </w:rPr>
        <w:t>cooked</w:t>
      </w:r>
    </w:p>
    <w:p w14:paraId="6FEEDDC9">
      <w:pPr>
        <w:pStyle w:val="56"/>
        <w:ind w:firstLine="420"/>
      </w:pPr>
      <w:r>
        <w:rPr>
          <w:rFonts w:hint="eastAsia"/>
        </w:rPr>
        <w:t>将预加工未完全熟制的预制菜经炒、炸、烤、煮、蒸等彻底熟化到可食用状态的过程。</w:t>
      </w:r>
    </w:p>
    <w:p w14:paraId="39BF4BF9">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非热加工</w:t>
      </w:r>
      <w:r>
        <w:rPr>
          <w:rFonts w:ascii="黑体" w:hAnsi="黑体" w:eastAsia="黑体"/>
        </w:rPr>
        <w:t xml:space="preserve"> non-thermal processing</w:t>
      </w:r>
    </w:p>
    <w:p w14:paraId="7AD27548">
      <w:pPr>
        <w:pStyle w:val="56"/>
        <w:ind w:firstLine="420"/>
      </w:pPr>
      <w:r>
        <w:rPr>
          <w:rFonts w:hint="eastAsia"/>
        </w:rPr>
        <w:t>根据工艺需要采用加工过程中食品温度变化小的一类物理加工方法。可用于食品的减菌、提取、腌制、改性等目的。</w:t>
      </w:r>
    </w:p>
    <w:p w14:paraId="76EA4596">
      <w:pPr>
        <w:pStyle w:val="56"/>
        <w:ind w:firstLine="420"/>
        <w:rPr>
          <w:sz w:val="18"/>
          <w:szCs w:val="18"/>
          <w:highlight w:val="none"/>
        </w:rPr>
      </w:pPr>
      <w:r>
        <w:rPr>
          <w:rFonts w:hint="eastAsia" w:ascii="黑体" w:hAnsi="黑体" w:eastAsia="黑体" w:cs="黑体"/>
          <w:sz w:val="18"/>
          <w:szCs w:val="18"/>
          <w:highlight w:val="none"/>
        </w:rPr>
        <w:t>注：</w:t>
      </w:r>
      <w:r>
        <w:rPr>
          <w:rFonts w:hint="eastAsia"/>
          <w:sz w:val="18"/>
          <w:szCs w:val="18"/>
          <w:highlight w:val="none"/>
        </w:rPr>
        <w:t>可包括超高压、等离子体、超声波、膜过滤、电磁场等。</w:t>
      </w:r>
      <w:bookmarkStart w:id="197" w:name="_GoBack"/>
      <w:bookmarkEnd w:id="197"/>
    </w:p>
    <w:p w14:paraId="147C8434">
      <w:pPr>
        <w:pStyle w:val="56"/>
        <w:ind w:firstLine="420"/>
      </w:pPr>
      <w:r>
        <w:rPr>
          <w:rFonts w:hint="eastAsia"/>
        </w:rPr>
        <w:t>[来源：</w:t>
      </w:r>
      <w:r>
        <w:t>GB/T 44881-2023</w:t>
      </w:r>
      <w:r>
        <w:rPr>
          <w:rFonts w:hint="eastAsia"/>
        </w:rPr>
        <w:t>，</w:t>
      </w:r>
      <w:r>
        <w:t>3.6]</w:t>
      </w:r>
    </w:p>
    <w:p w14:paraId="61EF2865">
      <w:pPr>
        <w:pStyle w:val="104"/>
        <w:spacing w:before="312" w:after="312"/>
      </w:pPr>
      <w:bookmarkStart w:id="87" w:name="_Toc133574161"/>
      <w:bookmarkStart w:id="88" w:name="_Toc164930734"/>
      <w:bookmarkStart w:id="89" w:name="_Toc166073128"/>
      <w:bookmarkStart w:id="90" w:name="_Toc14738"/>
      <w:bookmarkStart w:id="91" w:name="_Toc133574998"/>
      <w:bookmarkStart w:id="92" w:name="_Toc133574205"/>
      <w:bookmarkStart w:id="93" w:name="_Toc165994515"/>
      <w:bookmarkStart w:id="94" w:name="_Toc170400055"/>
      <w:bookmarkStart w:id="95" w:name="_Toc165993842"/>
      <w:bookmarkStart w:id="96" w:name="_Toc124845564"/>
      <w:bookmarkStart w:id="97" w:name="_Toc124938809"/>
      <w:bookmarkStart w:id="98" w:name="_Toc172716577"/>
      <w:bookmarkStart w:id="99" w:name="_Toc26560"/>
      <w:bookmarkStart w:id="100" w:name="_Toc124844580"/>
      <w:bookmarkStart w:id="101" w:name="_Toc163057629"/>
      <w:bookmarkStart w:id="102" w:name="_Toc164930857"/>
      <w:bookmarkStart w:id="103" w:name="_Toc163379387"/>
      <w:bookmarkStart w:id="104" w:name="_Toc166073950"/>
      <w:bookmarkStart w:id="105" w:name="_Toc164692441"/>
      <w:bookmarkStart w:id="106" w:name="_Toc165986110"/>
      <w:bookmarkStart w:id="107" w:name="_Toc163833824"/>
      <w:bookmarkStart w:id="108" w:name="_Toc163833055"/>
      <w:r>
        <w:rPr>
          <w:rFonts w:hint="eastAsia"/>
        </w:rPr>
        <w:t>分类原则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EED9564">
      <w:pPr>
        <w:pStyle w:val="162"/>
      </w:pPr>
      <w:r>
        <w:rPr>
          <w:rFonts w:hint="eastAsia"/>
        </w:rPr>
        <w:t>预制菜根据主要原料、预制工艺、贮运方式、包装组合、食用方式分类。</w:t>
      </w:r>
    </w:p>
    <w:p w14:paraId="6B88E9FA">
      <w:pPr>
        <w:pStyle w:val="162"/>
      </w:pPr>
      <w:r>
        <w:rPr>
          <w:rFonts w:hint="eastAsia"/>
        </w:rPr>
        <w:t>在主要原料方面，按照预制菜的主要原料类别进行分类</w:t>
      </w:r>
      <w:r>
        <w:t>。</w:t>
      </w:r>
    </w:p>
    <w:p w14:paraId="7E85150D">
      <w:pPr>
        <w:pStyle w:val="162"/>
      </w:pPr>
      <w:r>
        <w:rPr>
          <w:rFonts w:hint="eastAsia"/>
        </w:rPr>
        <w:t>在预制工艺方面</w:t>
      </w:r>
      <w:r>
        <w:t>，</w:t>
      </w:r>
      <w:r>
        <w:rPr>
          <w:rFonts w:hint="eastAsia"/>
        </w:rPr>
        <w:t>按照预制菜的</w:t>
      </w:r>
      <w:r>
        <w:rPr>
          <w:rFonts w:hint="eastAsia"/>
          <w:lang w:val="en-US" w:eastAsia="zh-CN"/>
        </w:rPr>
        <w:t>主要</w:t>
      </w:r>
      <w:r>
        <w:rPr>
          <w:rFonts w:hint="eastAsia"/>
        </w:rPr>
        <w:t>预制工艺进行分类。</w:t>
      </w:r>
    </w:p>
    <w:p w14:paraId="52859007">
      <w:pPr>
        <w:pStyle w:val="162"/>
      </w:pPr>
      <w:r>
        <w:t>在</w:t>
      </w:r>
      <w:r>
        <w:rPr>
          <w:rFonts w:hint="eastAsia"/>
        </w:rPr>
        <w:t>贮</w:t>
      </w:r>
      <w:r>
        <w:t>运</w:t>
      </w:r>
      <w:r>
        <w:rPr>
          <w:rFonts w:hint="eastAsia"/>
        </w:rPr>
        <w:t>方式方面</w:t>
      </w:r>
      <w:r>
        <w:t>，按照</w:t>
      </w:r>
      <w:r>
        <w:rPr>
          <w:rFonts w:hint="eastAsia"/>
        </w:rPr>
        <w:t>预制菜的贮藏运输方</w:t>
      </w:r>
      <w:r>
        <w:t>式</w:t>
      </w:r>
      <w:r>
        <w:rPr>
          <w:rFonts w:hint="eastAsia"/>
        </w:rPr>
        <w:t>进行</w:t>
      </w:r>
      <w:r>
        <w:t>分类</w:t>
      </w:r>
      <w:r>
        <w:rPr>
          <w:rFonts w:hint="eastAsia"/>
        </w:rPr>
        <w:t>。</w:t>
      </w:r>
    </w:p>
    <w:p w14:paraId="68F34391">
      <w:pPr>
        <w:pStyle w:val="162"/>
      </w:pPr>
      <w:r>
        <w:rPr>
          <w:rFonts w:hint="eastAsia"/>
        </w:rPr>
        <w:t>在包装组合方面，按照原料独立包装的形式进行分类。</w:t>
      </w:r>
    </w:p>
    <w:p w14:paraId="57740883">
      <w:pPr>
        <w:pStyle w:val="162"/>
      </w:pPr>
      <w:r>
        <w:rPr>
          <w:rFonts w:hint="eastAsia"/>
        </w:rPr>
        <w:t>在食用方式方面，按照预制菜食用需加热的程度进行分类。</w:t>
      </w:r>
    </w:p>
    <w:p w14:paraId="19776694">
      <w:pPr>
        <w:pStyle w:val="104"/>
        <w:spacing w:before="312" w:after="312"/>
      </w:pPr>
      <w:bookmarkStart w:id="109" w:name="_Toc127452981"/>
      <w:bookmarkStart w:id="110" w:name="_Toc133574999"/>
      <w:bookmarkStart w:id="111" w:name="_Toc164930735"/>
      <w:bookmarkStart w:id="112" w:name="_Toc170400056"/>
      <w:bookmarkStart w:id="113" w:name="_Toc133574206"/>
      <w:bookmarkStart w:id="114" w:name="_Toc164930858"/>
      <w:bookmarkStart w:id="115" w:name="_Toc172716578"/>
      <w:bookmarkStart w:id="116" w:name="_Toc30719"/>
      <w:bookmarkStart w:id="117" w:name="_Toc163833056"/>
      <w:bookmarkStart w:id="118" w:name="_Toc133574162"/>
      <w:bookmarkStart w:id="119" w:name="_Toc165994516"/>
      <w:bookmarkStart w:id="120" w:name="_Toc166073129"/>
      <w:bookmarkStart w:id="121" w:name="_Toc164692442"/>
      <w:bookmarkStart w:id="122" w:name="_Toc163833825"/>
      <w:bookmarkStart w:id="123" w:name="_Toc165993843"/>
      <w:bookmarkStart w:id="124" w:name="_Toc163057630"/>
      <w:bookmarkStart w:id="125" w:name="_Toc31892"/>
      <w:bookmarkStart w:id="126" w:name="_Toc163379388"/>
      <w:bookmarkStart w:id="127" w:name="_Toc166073951"/>
      <w:bookmarkStart w:id="128" w:name="_Toc165986111"/>
      <w:r>
        <w:rPr>
          <w:rFonts w:hint="eastAsia"/>
        </w:rPr>
        <w:t>分类</w:t>
      </w:r>
      <w:bookmarkEnd w:id="109"/>
      <w:r>
        <w:rPr>
          <w:rFonts w:hint="eastAsia"/>
        </w:rPr>
        <w:t>类别</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A6FF34">
      <w:pPr>
        <w:pStyle w:val="105"/>
        <w:spacing w:before="156" w:after="156"/>
      </w:pPr>
      <w:bookmarkStart w:id="129" w:name="_Toc133575000"/>
      <w:bookmarkStart w:id="130" w:name="_Toc170400057"/>
      <w:bookmarkStart w:id="131" w:name="_Toc164692443"/>
      <w:bookmarkStart w:id="132" w:name="_Toc165993844"/>
      <w:bookmarkStart w:id="133" w:name="_Toc165994517"/>
      <w:bookmarkStart w:id="134" w:name="_Toc164930859"/>
      <w:bookmarkStart w:id="135" w:name="_Toc172716579"/>
      <w:bookmarkStart w:id="136" w:name="_Toc166073952"/>
      <w:bookmarkStart w:id="137" w:name="_Toc164930736"/>
      <w:bookmarkStart w:id="138" w:name="_Toc165986112"/>
      <w:bookmarkStart w:id="139" w:name="_Toc163057631"/>
      <w:bookmarkStart w:id="140" w:name="_Toc133574207"/>
      <w:bookmarkStart w:id="141" w:name="_Toc163379389"/>
      <w:bookmarkStart w:id="142" w:name="_Toc133574163"/>
      <w:bookmarkStart w:id="143" w:name="_Toc163833057"/>
      <w:bookmarkStart w:id="144" w:name="_Toc166073130"/>
      <w:bookmarkStart w:id="145" w:name="_Toc163833826"/>
      <w:r>
        <w:rPr>
          <w:rFonts w:hint="eastAsia"/>
        </w:rPr>
        <w:t>按主要原料分类</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59933A6">
      <w:pPr>
        <w:pStyle w:val="65"/>
        <w:spacing w:before="156" w:after="156"/>
      </w:pPr>
      <w:r>
        <w:rPr>
          <w:rFonts w:hint="eastAsia"/>
        </w:rPr>
        <w:t>肉类预制菜</w:t>
      </w:r>
      <w:r>
        <w:tab/>
      </w:r>
    </w:p>
    <w:p w14:paraId="415F4544">
      <w:pPr>
        <w:spacing w:line="420" w:lineRule="exact"/>
        <w:ind w:firstLine="420" w:firstLineChars="200"/>
      </w:pPr>
      <w:r>
        <w:rPr>
          <w:rFonts w:hint="eastAsia"/>
        </w:rPr>
        <w:t>以畜禽可食用部分及其制品为原料的预制菜。</w:t>
      </w:r>
    </w:p>
    <w:p w14:paraId="7EF112FF">
      <w:pPr>
        <w:pStyle w:val="65"/>
        <w:spacing w:before="156" w:after="156"/>
      </w:pPr>
      <w:r>
        <w:rPr>
          <w:rFonts w:hint="eastAsia"/>
        </w:rPr>
        <w:t>水产类预制菜</w:t>
      </w:r>
    </w:p>
    <w:p w14:paraId="0172C3EA">
      <w:pPr>
        <w:spacing w:line="420" w:lineRule="exact"/>
        <w:ind w:firstLine="420" w:firstLineChars="200"/>
      </w:pPr>
      <w:r>
        <w:rPr>
          <w:rFonts w:hint="eastAsia"/>
        </w:rPr>
        <w:t>以可食用水生动植物及其制品为原料的预制菜。</w:t>
      </w:r>
    </w:p>
    <w:p w14:paraId="2AD2A47A">
      <w:pPr>
        <w:pStyle w:val="65"/>
        <w:spacing w:before="156" w:after="156"/>
      </w:pPr>
      <w:r>
        <w:rPr>
          <w:rFonts w:hint="eastAsia"/>
        </w:rPr>
        <w:t>蛋类预制菜</w:t>
      </w:r>
    </w:p>
    <w:p w14:paraId="6DFCA633">
      <w:pPr>
        <w:spacing w:line="420" w:lineRule="exact"/>
        <w:ind w:firstLine="420" w:firstLineChars="200"/>
      </w:pPr>
      <w:r>
        <w:rPr>
          <w:rFonts w:hint="eastAsia"/>
        </w:rPr>
        <w:t>以禽蛋产品及其制品等为原料的预制菜。</w:t>
      </w:r>
    </w:p>
    <w:p w14:paraId="1080DB9E">
      <w:pPr>
        <w:pStyle w:val="65"/>
        <w:spacing w:before="156" w:after="156"/>
      </w:pPr>
      <w:r>
        <w:rPr>
          <w:rFonts w:hint="eastAsia"/>
        </w:rPr>
        <w:t>豆类预制菜</w:t>
      </w:r>
    </w:p>
    <w:p w14:paraId="3A75F99E">
      <w:pPr>
        <w:spacing w:line="420" w:lineRule="exact"/>
        <w:ind w:firstLine="420" w:firstLineChars="200"/>
      </w:pPr>
      <w:r>
        <w:rPr>
          <w:rFonts w:hint="eastAsia"/>
        </w:rPr>
        <w:t>以豆类及豆制品为原料的预制菜。</w:t>
      </w:r>
    </w:p>
    <w:p w14:paraId="5AF5E53C">
      <w:pPr>
        <w:pStyle w:val="65"/>
        <w:spacing w:before="156" w:after="156"/>
      </w:pPr>
      <w:r>
        <w:rPr>
          <w:rFonts w:hint="eastAsia"/>
        </w:rPr>
        <w:t>薯类预制菜</w:t>
      </w:r>
    </w:p>
    <w:p w14:paraId="26680989">
      <w:pPr>
        <w:spacing w:line="420" w:lineRule="exact"/>
        <w:ind w:firstLine="420" w:firstLineChars="200"/>
      </w:pPr>
      <w:r>
        <w:rPr>
          <w:rFonts w:hint="eastAsia"/>
        </w:rPr>
        <w:t>以薯类及其制品为原料的预制菜。</w:t>
      </w:r>
    </w:p>
    <w:p w14:paraId="0042A557">
      <w:pPr>
        <w:pStyle w:val="65"/>
        <w:spacing w:before="156" w:after="156"/>
      </w:pPr>
      <w:r>
        <w:rPr>
          <w:rFonts w:hint="eastAsia"/>
        </w:rPr>
        <w:t>蔬菜类预制菜</w:t>
      </w:r>
    </w:p>
    <w:p w14:paraId="17CDA28C">
      <w:pPr>
        <w:spacing w:line="420" w:lineRule="exact"/>
        <w:ind w:firstLine="420" w:firstLineChars="200"/>
      </w:pPr>
      <w:r>
        <w:rPr>
          <w:rFonts w:hint="eastAsia"/>
        </w:rPr>
        <w:t>以蔬菜、食用菌及其制品等为原料的预制菜。</w:t>
      </w:r>
      <w:r>
        <w:t xml:space="preserve"> </w:t>
      </w:r>
    </w:p>
    <w:p w14:paraId="46E18138">
      <w:pPr>
        <w:pStyle w:val="65"/>
        <w:spacing w:before="156" w:after="156"/>
      </w:pPr>
      <w:r>
        <w:rPr>
          <w:rFonts w:hint="eastAsia"/>
        </w:rPr>
        <w:t>多食材类</w:t>
      </w:r>
      <w:r>
        <w:t>预制菜</w:t>
      </w:r>
    </w:p>
    <w:p w14:paraId="54271791">
      <w:pPr>
        <w:spacing w:line="420" w:lineRule="exact"/>
        <w:ind w:firstLine="420" w:firstLineChars="200"/>
      </w:pPr>
      <w:r>
        <w:rPr>
          <w:rFonts w:hint="eastAsia"/>
        </w:rPr>
        <w:t>以两种及以上主要原料加工制成的预制菜。如：佛跳墙、鱼香肉丝、胡萝卜土豆烧牛肉等。</w:t>
      </w:r>
    </w:p>
    <w:p w14:paraId="7ABFFA00">
      <w:pPr>
        <w:pStyle w:val="65"/>
        <w:spacing w:before="156" w:after="156"/>
      </w:pPr>
      <w:r>
        <w:rPr>
          <w:rFonts w:hint="eastAsia"/>
        </w:rPr>
        <w:t>其他类</w:t>
      </w:r>
      <w:r>
        <w:t>预制菜</w:t>
      </w:r>
    </w:p>
    <w:p w14:paraId="31E6DA85">
      <w:pPr>
        <w:spacing w:line="420" w:lineRule="exact"/>
        <w:ind w:firstLine="420" w:firstLineChars="200"/>
      </w:pPr>
      <w:r>
        <w:rPr>
          <w:rFonts w:hint="eastAsia"/>
        </w:rPr>
        <w:t>由</w:t>
      </w:r>
      <w:r>
        <w:t>除</w:t>
      </w:r>
      <w:r>
        <w:rPr>
          <w:rFonts w:hint="eastAsia"/>
        </w:rPr>
        <w:t>5.</w:t>
      </w:r>
      <w:r>
        <w:t>1</w:t>
      </w:r>
      <w:r>
        <w:rPr>
          <w:rFonts w:hint="eastAsia"/>
        </w:rPr>
        <w:t>.</w:t>
      </w:r>
      <w:r>
        <w:t xml:space="preserve">1 ~ </w:t>
      </w:r>
      <w:r>
        <w:rPr>
          <w:rFonts w:hint="eastAsia"/>
        </w:rPr>
        <w:t>5.</w:t>
      </w:r>
      <w:r>
        <w:t>1.7</w:t>
      </w:r>
      <w:r>
        <w:rPr>
          <w:rFonts w:hint="eastAsia"/>
        </w:rPr>
        <w:t>规定以外</w:t>
      </w:r>
      <w:r>
        <w:t>的其他</w:t>
      </w:r>
      <w:r>
        <w:rPr>
          <w:rFonts w:hint="eastAsia"/>
        </w:rPr>
        <w:t>原料制成</w:t>
      </w:r>
      <w:r>
        <w:t>的</w:t>
      </w:r>
      <w:r>
        <w:rPr>
          <w:rFonts w:hint="eastAsia"/>
        </w:rPr>
        <w:t>预制菜。</w:t>
      </w:r>
    </w:p>
    <w:p w14:paraId="0059F85D">
      <w:pPr>
        <w:pStyle w:val="105"/>
        <w:spacing w:before="156" w:after="156"/>
      </w:pPr>
      <w:bookmarkStart w:id="146" w:name="_Toc133575001"/>
      <w:bookmarkStart w:id="147" w:name="_Toc165993845"/>
      <w:bookmarkStart w:id="148" w:name="_Toc133574208"/>
      <w:bookmarkStart w:id="149" w:name="_Toc164930860"/>
      <w:bookmarkStart w:id="150" w:name="_Toc163379390"/>
      <w:bookmarkStart w:id="151" w:name="_Toc172716580"/>
      <w:bookmarkStart w:id="152" w:name="_Toc133574164"/>
      <w:bookmarkStart w:id="153" w:name="_Toc166073953"/>
      <w:bookmarkStart w:id="154" w:name="_Toc165986113"/>
      <w:bookmarkStart w:id="155" w:name="_Toc170400058"/>
      <w:bookmarkStart w:id="156" w:name="_Toc163057632"/>
      <w:bookmarkStart w:id="157" w:name="_Toc164692444"/>
      <w:bookmarkStart w:id="158" w:name="_Toc164930737"/>
      <w:bookmarkStart w:id="159" w:name="_Toc163833827"/>
      <w:bookmarkStart w:id="160" w:name="_Toc165994518"/>
      <w:bookmarkStart w:id="161" w:name="_Toc166073131"/>
      <w:bookmarkStart w:id="162" w:name="_Toc163833058"/>
      <w:r>
        <w:rPr>
          <w:rFonts w:hint="eastAsia"/>
        </w:rPr>
        <w:t>按预制工艺分类</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699A54F">
      <w:pPr>
        <w:pStyle w:val="65"/>
        <w:spacing w:before="156" w:after="156"/>
      </w:pPr>
      <w:r>
        <w:rPr>
          <w:rFonts w:hint="eastAsia"/>
        </w:rPr>
        <w:t>烧烤类预制菜</w:t>
      </w:r>
    </w:p>
    <w:p w14:paraId="1F6790E8">
      <w:pPr>
        <w:spacing w:line="420" w:lineRule="exact"/>
        <w:ind w:firstLine="420" w:firstLineChars="200"/>
      </w:pPr>
      <w:r>
        <w:rPr>
          <w:rFonts w:hint="eastAsia"/>
        </w:rPr>
        <w:t>经烧制和烤制等工艺加热或熟制的预制菜。</w:t>
      </w:r>
    </w:p>
    <w:p w14:paraId="632EE7E1">
      <w:pPr>
        <w:pStyle w:val="65"/>
        <w:spacing w:before="156" w:after="156"/>
      </w:pPr>
      <w:r>
        <w:rPr>
          <w:rFonts w:hint="eastAsia"/>
        </w:rPr>
        <w:t>油炸类预制菜</w:t>
      </w:r>
    </w:p>
    <w:p w14:paraId="19829FB9">
      <w:pPr>
        <w:spacing w:line="420" w:lineRule="exact"/>
        <w:ind w:firstLine="420" w:firstLineChars="200"/>
      </w:pPr>
      <w:r>
        <w:rPr>
          <w:rFonts w:hint="eastAsia"/>
        </w:rPr>
        <w:t>经炸制、煎制等工艺加热或熟制的预制菜。</w:t>
      </w:r>
    </w:p>
    <w:p w14:paraId="43362EC9">
      <w:pPr>
        <w:pStyle w:val="65"/>
        <w:spacing w:before="156" w:after="156"/>
      </w:pPr>
      <w:r>
        <w:rPr>
          <w:rFonts w:hint="eastAsia"/>
        </w:rPr>
        <w:t>炒制</w:t>
      </w:r>
      <w:r>
        <w:t>类</w:t>
      </w:r>
      <w:r>
        <w:rPr>
          <w:rFonts w:hint="eastAsia"/>
        </w:rPr>
        <w:t>预制菜</w:t>
      </w:r>
    </w:p>
    <w:p w14:paraId="10AD9FCD">
      <w:pPr>
        <w:spacing w:line="420" w:lineRule="exact"/>
        <w:ind w:firstLine="420" w:firstLineChars="200"/>
      </w:pPr>
      <w:r>
        <w:rPr>
          <w:rFonts w:hint="eastAsia"/>
        </w:rPr>
        <w:t>经炒制等工艺加热或熟制</w:t>
      </w:r>
      <w:r>
        <w:t>的预制菜。</w:t>
      </w:r>
    </w:p>
    <w:p w14:paraId="6FD83996">
      <w:pPr>
        <w:pStyle w:val="65"/>
        <w:spacing w:before="156" w:after="156"/>
      </w:pPr>
      <w:r>
        <w:rPr>
          <w:rFonts w:hint="eastAsia"/>
        </w:rPr>
        <w:t>蒸制类预制菜</w:t>
      </w:r>
    </w:p>
    <w:p w14:paraId="55261F95">
      <w:pPr>
        <w:spacing w:line="420" w:lineRule="exact"/>
        <w:ind w:firstLine="420" w:firstLineChars="200"/>
      </w:pPr>
      <w:r>
        <w:rPr>
          <w:rFonts w:hint="eastAsia"/>
        </w:rPr>
        <w:t>经蒸制等工艺加热或熟制</w:t>
      </w:r>
      <w:r>
        <w:t>的预制菜。</w:t>
      </w:r>
    </w:p>
    <w:p w14:paraId="32968D24">
      <w:pPr>
        <w:pStyle w:val="65"/>
        <w:spacing w:before="156" w:after="156"/>
      </w:pPr>
      <w:r>
        <w:rPr>
          <w:rFonts w:hint="eastAsia"/>
        </w:rPr>
        <w:t>煮制类预制菜</w:t>
      </w:r>
    </w:p>
    <w:p w14:paraId="54B17B23">
      <w:pPr>
        <w:spacing w:line="420" w:lineRule="exact"/>
        <w:ind w:firstLine="420" w:firstLineChars="200"/>
      </w:pPr>
      <w:r>
        <w:t>经</w:t>
      </w:r>
      <w:r>
        <w:rPr>
          <w:rFonts w:hint="eastAsia"/>
        </w:rPr>
        <w:t>煮制等工艺加热或熟制</w:t>
      </w:r>
      <w:r>
        <w:t>的预制菜。</w:t>
      </w:r>
    </w:p>
    <w:p w14:paraId="37CDDE7C">
      <w:pPr>
        <w:pStyle w:val="65"/>
        <w:spacing w:before="156" w:after="156"/>
      </w:pPr>
      <w:r>
        <w:rPr>
          <w:rFonts w:hint="eastAsia"/>
        </w:rPr>
        <w:t>烟熏类预制菜</w:t>
      </w:r>
    </w:p>
    <w:p w14:paraId="6FDCFCAE">
      <w:pPr>
        <w:spacing w:line="420" w:lineRule="exact"/>
        <w:ind w:firstLine="420" w:firstLineChars="200"/>
      </w:pPr>
      <w:r>
        <w:rPr>
          <w:rFonts w:hint="eastAsia"/>
        </w:rPr>
        <w:t>经烟熏等工艺加热或熟制</w:t>
      </w:r>
      <w:r>
        <w:t>的预制菜。</w:t>
      </w:r>
    </w:p>
    <w:p w14:paraId="0BD6A3EA">
      <w:pPr>
        <w:pStyle w:val="65"/>
        <w:spacing w:before="156" w:after="156"/>
      </w:pPr>
      <w:r>
        <w:rPr>
          <w:rFonts w:hint="eastAsia"/>
        </w:rPr>
        <w:t>风干类预制菜</w:t>
      </w:r>
    </w:p>
    <w:p w14:paraId="445AEF7F">
      <w:pPr>
        <w:spacing w:line="420" w:lineRule="exact"/>
        <w:ind w:firstLine="420" w:firstLineChars="200"/>
      </w:pPr>
      <w:r>
        <w:rPr>
          <w:rFonts w:hint="eastAsia"/>
        </w:rPr>
        <w:t>经热风风干等工艺加热或熟制</w:t>
      </w:r>
      <w:r>
        <w:t>的预制菜。</w:t>
      </w:r>
    </w:p>
    <w:p w14:paraId="47EEE4A7">
      <w:pPr>
        <w:pStyle w:val="65"/>
        <w:spacing w:before="156" w:after="156"/>
      </w:pPr>
      <w:r>
        <w:rPr>
          <w:rFonts w:hint="eastAsia"/>
        </w:rPr>
        <w:t>其他预制工艺类预制菜</w:t>
      </w:r>
    </w:p>
    <w:p w14:paraId="32C6C7C4">
      <w:pPr>
        <w:spacing w:line="420" w:lineRule="exact"/>
        <w:ind w:firstLine="420" w:firstLineChars="200"/>
      </w:pPr>
      <w:r>
        <w:rPr>
          <w:rFonts w:hint="eastAsia"/>
        </w:rPr>
        <w:t>包括</w:t>
      </w:r>
      <w:r>
        <w:t>除</w:t>
      </w:r>
      <w:r>
        <w:rPr>
          <w:rFonts w:hint="eastAsia"/>
        </w:rPr>
        <w:t>5.</w:t>
      </w:r>
      <w:r>
        <w:t>2</w:t>
      </w:r>
      <w:r>
        <w:rPr>
          <w:rFonts w:hint="eastAsia"/>
        </w:rPr>
        <w:t>.</w:t>
      </w:r>
      <w:r>
        <w:t xml:space="preserve">1 ~ </w:t>
      </w:r>
      <w:r>
        <w:rPr>
          <w:rFonts w:hint="eastAsia"/>
        </w:rPr>
        <w:t>5.</w:t>
      </w:r>
      <w:r>
        <w:t>2</w:t>
      </w:r>
      <w:r>
        <w:rPr>
          <w:rFonts w:hint="eastAsia"/>
        </w:rPr>
        <w:t>.</w:t>
      </w:r>
      <w:r>
        <w:rPr>
          <w:rFonts w:hint="eastAsia"/>
          <w:lang w:val="en-US" w:eastAsia="zh-CN"/>
        </w:rPr>
        <w:t>7</w:t>
      </w:r>
      <w:r>
        <w:rPr>
          <w:rFonts w:hint="eastAsia"/>
        </w:rPr>
        <w:t>规定以外</w:t>
      </w:r>
      <w:r>
        <w:t>的其他</w:t>
      </w:r>
      <w:r>
        <w:rPr>
          <w:rFonts w:hint="eastAsia"/>
        </w:rPr>
        <w:t>预制工艺制成</w:t>
      </w:r>
      <w:r>
        <w:t>的</w:t>
      </w:r>
      <w:r>
        <w:rPr>
          <w:rFonts w:hint="eastAsia"/>
        </w:rPr>
        <w:t>预制菜。</w:t>
      </w:r>
    </w:p>
    <w:p w14:paraId="0EEA6FAA">
      <w:pPr>
        <w:pStyle w:val="105"/>
        <w:spacing w:before="156" w:after="156"/>
      </w:pPr>
      <w:bookmarkStart w:id="163" w:name="_Toc172716581"/>
      <w:bookmarkStart w:id="164" w:name="_Toc170400059"/>
      <w:bookmarkStart w:id="165" w:name="_Toc164930738"/>
      <w:bookmarkStart w:id="166" w:name="_Toc166073132"/>
      <w:bookmarkStart w:id="167" w:name="_Toc165986114"/>
      <w:bookmarkStart w:id="168" w:name="_Toc163057633"/>
      <w:bookmarkStart w:id="169" w:name="_Toc163379391"/>
      <w:bookmarkStart w:id="170" w:name="_Toc164692445"/>
      <w:bookmarkStart w:id="171" w:name="_Toc165993846"/>
      <w:bookmarkStart w:id="172" w:name="_Toc165994519"/>
      <w:bookmarkStart w:id="173" w:name="_Toc163833059"/>
      <w:bookmarkStart w:id="174" w:name="_Toc133574209"/>
      <w:bookmarkStart w:id="175" w:name="_Toc133574165"/>
      <w:bookmarkStart w:id="176" w:name="_Toc133575002"/>
      <w:bookmarkStart w:id="177" w:name="_Toc166073954"/>
      <w:bookmarkStart w:id="178" w:name="_Toc163833828"/>
      <w:bookmarkStart w:id="179" w:name="_Toc164930861"/>
      <w:r>
        <w:rPr>
          <w:rFonts w:hint="eastAsia"/>
        </w:rPr>
        <w:t>按贮运方式分类</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52CA8ED8">
      <w:pPr>
        <w:pStyle w:val="65"/>
        <w:spacing w:before="156" w:after="156"/>
      </w:pPr>
      <w:r>
        <w:rPr>
          <w:rFonts w:hint="eastAsia"/>
        </w:rPr>
        <w:t>冷冻贮运</w:t>
      </w:r>
      <w:r>
        <w:t>预制菜</w:t>
      </w:r>
    </w:p>
    <w:p w14:paraId="3FD6D640">
      <w:pPr>
        <w:pStyle w:val="56"/>
        <w:ind w:firstLine="420"/>
      </w:pPr>
      <w:r>
        <w:rPr>
          <w:rFonts w:hint="eastAsia"/>
        </w:rPr>
        <w:t>在符合产品标签标明的冷冻温度要求条件下</w:t>
      </w:r>
      <w:r>
        <w:t>贮藏</w:t>
      </w:r>
      <w:r>
        <w:rPr>
          <w:rFonts w:hint="eastAsia"/>
        </w:rPr>
        <w:t>运输的预制菜</w:t>
      </w:r>
      <w:r>
        <w:t>。</w:t>
      </w:r>
    </w:p>
    <w:p w14:paraId="2FE630AA">
      <w:pPr>
        <w:pStyle w:val="65"/>
        <w:spacing w:before="156" w:after="156"/>
      </w:pPr>
      <w:r>
        <w:t>冷藏</w:t>
      </w:r>
      <w:r>
        <w:rPr>
          <w:rFonts w:hint="eastAsia"/>
        </w:rPr>
        <w:t>贮运</w:t>
      </w:r>
      <w:r>
        <w:t>预制菜</w:t>
      </w:r>
    </w:p>
    <w:p w14:paraId="2CE5B450">
      <w:pPr>
        <w:spacing w:line="420" w:lineRule="exact"/>
        <w:ind w:firstLine="420" w:firstLineChars="200"/>
      </w:pPr>
      <w:r>
        <w:rPr>
          <w:rFonts w:hint="eastAsia"/>
        </w:rPr>
        <w:t>在符合产品标签标明的冷藏</w:t>
      </w:r>
      <w:r>
        <w:t>温度</w:t>
      </w:r>
      <w:r>
        <w:rPr>
          <w:rFonts w:hint="eastAsia"/>
        </w:rPr>
        <w:t>要求</w:t>
      </w:r>
      <w:r>
        <w:t>条件下贮藏</w:t>
      </w:r>
      <w:r>
        <w:rPr>
          <w:rFonts w:hint="eastAsia"/>
        </w:rPr>
        <w:t>运输的预制菜</w:t>
      </w:r>
      <w:r>
        <w:t>。</w:t>
      </w:r>
    </w:p>
    <w:p w14:paraId="034330A4">
      <w:pPr>
        <w:pStyle w:val="65"/>
        <w:spacing w:before="156" w:after="156"/>
      </w:pPr>
      <w:r>
        <w:t>常温</w:t>
      </w:r>
      <w:r>
        <w:rPr>
          <w:rFonts w:hint="eastAsia"/>
        </w:rPr>
        <w:t>贮运</w:t>
      </w:r>
      <w:r>
        <w:t>预制菜</w:t>
      </w:r>
    </w:p>
    <w:p w14:paraId="43ADB34F">
      <w:pPr>
        <w:spacing w:line="420" w:lineRule="exact"/>
        <w:ind w:firstLine="420" w:firstLineChars="200"/>
      </w:pPr>
      <w:r>
        <w:rPr>
          <w:rFonts w:hint="eastAsia"/>
        </w:rPr>
        <w:t>在符合预制菜产品标签标明的常温温度要求</w:t>
      </w:r>
      <w:r>
        <w:rPr>
          <w:rFonts w:hint="eastAsia" w:ascii="宋体" w:hAnsi="宋体" w:cs="宋体"/>
        </w:rPr>
        <w:t>条件</w:t>
      </w:r>
      <w:r>
        <w:rPr>
          <w:rFonts w:hint="eastAsia"/>
        </w:rPr>
        <w:t>下贮藏运输的预制菜。</w:t>
      </w:r>
      <w:r>
        <w:t xml:space="preserve"> </w:t>
      </w:r>
    </w:p>
    <w:p w14:paraId="79C4AC39">
      <w:pPr>
        <w:pStyle w:val="105"/>
        <w:spacing w:before="156" w:after="156"/>
      </w:pPr>
      <w:bookmarkStart w:id="180" w:name="_Toc170400060"/>
      <w:bookmarkStart w:id="181" w:name="_Toc166073955"/>
      <w:bookmarkStart w:id="182" w:name="_Toc172716582"/>
      <w:bookmarkStart w:id="183" w:name="_Toc166073133"/>
      <w:r>
        <w:rPr>
          <w:rFonts w:hint="eastAsia"/>
        </w:rPr>
        <w:t>按产品包装组合分类</w:t>
      </w:r>
      <w:bookmarkEnd w:id="180"/>
      <w:bookmarkEnd w:id="181"/>
      <w:bookmarkEnd w:id="182"/>
      <w:bookmarkEnd w:id="183"/>
    </w:p>
    <w:p w14:paraId="09100557">
      <w:pPr>
        <w:pStyle w:val="65"/>
        <w:spacing w:before="156" w:after="156"/>
      </w:pPr>
      <w:r>
        <w:rPr>
          <w:rFonts w:hint="eastAsia"/>
        </w:rPr>
        <w:t>单包装预制菜</w:t>
      </w:r>
    </w:p>
    <w:p w14:paraId="46A98D2F">
      <w:pPr>
        <w:spacing w:line="420" w:lineRule="exact"/>
        <w:ind w:firstLine="420" w:firstLineChars="200"/>
      </w:pPr>
      <w:r>
        <w:rPr>
          <w:rFonts w:hint="eastAsia"/>
        </w:rPr>
        <w:t>所有原料均处于一个独立包装的预制菜。</w:t>
      </w:r>
    </w:p>
    <w:p w14:paraId="719A0EDA">
      <w:pPr>
        <w:pStyle w:val="65"/>
        <w:spacing w:before="156" w:after="156"/>
      </w:pPr>
      <w:r>
        <w:rPr>
          <w:rFonts w:hint="eastAsia"/>
        </w:rPr>
        <w:t>组合包装预制菜</w:t>
      </w:r>
    </w:p>
    <w:p w14:paraId="3E38A5AD">
      <w:pPr>
        <w:spacing w:line="420" w:lineRule="exact"/>
        <w:ind w:firstLine="420" w:firstLineChars="200"/>
      </w:pPr>
      <w:r>
        <w:rPr>
          <w:rFonts w:hint="eastAsia"/>
        </w:rPr>
        <w:t>原料分为多个独立包装的预制菜。</w:t>
      </w:r>
      <w:bookmarkStart w:id="184" w:name="_Hlk122963255"/>
    </w:p>
    <w:bookmarkEnd w:id="184"/>
    <w:p w14:paraId="1E38A7A8">
      <w:pPr>
        <w:pStyle w:val="105"/>
        <w:spacing w:before="156" w:after="156"/>
      </w:pPr>
      <w:bookmarkStart w:id="185" w:name="_Toc166073956"/>
      <w:bookmarkStart w:id="186" w:name="_Toc172716583"/>
      <w:bookmarkStart w:id="187" w:name="_Toc166073134"/>
      <w:bookmarkStart w:id="188" w:name="_Toc170400061"/>
      <w:r>
        <w:rPr>
          <w:rFonts w:hint="eastAsia"/>
        </w:rPr>
        <w:t>按食用方式分类</w:t>
      </w:r>
      <w:bookmarkEnd w:id="185"/>
      <w:bookmarkEnd w:id="186"/>
      <w:bookmarkEnd w:id="187"/>
      <w:bookmarkEnd w:id="188"/>
    </w:p>
    <w:p w14:paraId="7E848848">
      <w:pPr>
        <w:pStyle w:val="65"/>
        <w:spacing w:before="156" w:after="156"/>
      </w:pPr>
      <w:r>
        <w:rPr>
          <w:rFonts w:hint="eastAsia"/>
        </w:rPr>
        <w:t xml:space="preserve">待熟制预制菜 </w:t>
      </w:r>
    </w:p>
    <w:p w14:paraId="3D6D3176">
      <w:pPr>
        <w:spacing w:line="420" w:lineRule="exact"/>
        <w:ind w:firstLine="420" w:firstLineChars="200"/>
      </w:pPr>
      <w:r>
        <w:rPr>
          <w:rFonts w:hint="eastAsia"/>
        </w:rPr>
        <w:t>食用前需经炒制、炸制、烤制、煮制、蒸制、煎制等方式熟制后方可食用的预制菜。</w:t>
      </w:r>
    </w:p>
    <w:p w14:paraId="210F46B9">
      <w:pPr>
        <w:pStyle w:val="65"/>
        <w:spacing w:before="156" w:after="156"/>
      </w:pPr>
      <w:r>
        <w:rPr>
          <w:rFonts w:hint="eastAsia"/>
        </w:rPr>
        <w:t>待加热预制菜</w:t>
      </w:r>
    </w:p>
    <w:p w14:paraId="6218EC4A">
      <w:pPr>
        <w:spacing w:line="420" w:lineRule="exact"/>
        <w:ind w:firstLine="420" w:firstLineChars="200"/>
      </w:pPr>
      <w:bookmarkStart w:id="189" w:name="_Hlk122963324"/>
      <w:r>
        <w:rPr>
          <w:rFonts w:hint="eastAsia"/>
        </w:rPr>
        <w:t>食用前不需熟制但仍需经加热方可食用的预制菜。</w:t>
      </w:r>
      <w:bookmarkEnd w:id="189"/>
    </w:p>
    <w:p w14:paraId="712DBEDA">
      <w:pPr>
        <w:pStyle w:val="56"/>
        <w:ind w:firstLine="420"/>
      </w:pPr>
    </w:p>
    <w:bookmarkEnd w:id="25"/>
    <w:p w14:paraId="02FFA796">
      <w:pPr>
        <w:pStyle w:val="198"/>
        <w:rPr>
          <w:rFonts w:hint="eastAsia"/>
        </w:rPr>
      </w:pPr>
      <w:bookmarkStart w:id="190" w:name="BookMark5"/>
    </w:p>
    <w:p w14:paraId="24CCD8AC">
      <w:pPr>
        <w:pStyle w:val="199"/>
      </w:pPr>
    </w:p>
    <w:bookmarkEnd w:id="190"/>
    <w:p w14:paraId="61A0F449">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type="lines" w:linePitch="312" w:charSpace="0"/>
        </w:sectPr>
      </w:pPr>
      <w:bookmarkStart w:id="191" w:name="BookMark6"/>
    </w:p>
    <w:p w14:paraId="76C86F08">
      <w:pPr>
        <w:pStyle w:val="63"/>
        <w:spacing w:after="156"/>
      </w:pPr>
      <w:bookmarkStart w:id="192" w:name="_Toc7643"/>
      <w:bookmarkStart w:id="193" w:name="_Toc8529"/>
      <w:bookmarkStart w:id="194" w:name="_Toc170400063"/>
      <w:bookmarkStart w:id="195" w:name="_Toc172716585"/>
      <w:r>
        <w:rPr>
          <w:rFonts w:hint="eastAsia"/>
          <w:spacing w:val="105"/>
        </w:rPr>
        <w:t>参考文</w:t>
      </w:r>
      <w:r>
        <w:rPr>
          <w:rFonts w:hint="eastAsia"/>
        </w:rPr>
        <w:t>献</w:t>
      </w:r>
      <w:bookmarkEnd w:id="192"/>
      <w:bookmarkEnd w:id="193"/>
      <w:bookmarkEnd w:id="194"/>
      <w:bookmarkEnd w:id="195"/>
    </w:p>
    <w:p w14:paraId="02586FEF">
      <w:pPr>
        <w:pStyle w:val="56"/>
        <w:ind w:firstLine="420"/>
      </w:pPr>
      <w:r>
        <w:rPr>
          <w:rFonts w:hint="eastAsia"/>
        </w:rPr>
        <w:t>[</w:t>
      </w:r>
      <w:r>
        <w:t xml:space="preserve">1] </w:t>
      </w:r>
      <w:r>
        <w:rPr>
          <w:rFonts w:hint="eastAsia"/>
        </w:rPr>
        <w:t>市场监管总局 教育部 工业和信息化部 农业农村部 商务部 国家卫生健康委关于加强预制菜食品安全监管促进产业高质量发展的通知（国市监食生发〔2024〕27号）</w:t>
      </w:r>
    </w:p>
    <w:p w14:paraId="15CAD834">
      <w:pPr>
        <w:pStyle w:val="56"/>
        <w:ind w:firstLine="420"/>
      </w:pPr>
      <w:r>
        <w:t xml:space="preserve">[2] </w:t>
      </w:r>
      <w:r>
        <w:rPr>
          <w:rFonts w:hint="eastAsia"/>
        </w:rPr>
        <w:t>市场监管总局相关司局负责人就《关于加强预制菜食品安全监管 促进产业高质量发展的通知》答记者问</w:t>
      </w:r>
    </w:p>
    <w:p w14:paraId="21D4F519">
      <w:pPr>
        <w:pStyle w:val="56"/>
        <w:ind w:firstLine="420"/>
      </w:pPr>
      <w:r>
        <w:rPr>
          <w:rFonts w:hint="eastAsia"/>
        </w:rPr>
        <w:t>[</w:t>
      </w:r>
      <w:r>
        <w:t xml:space="preserve">3] </w:t>
      </w:r>
      <w:r>
        <w:rPr>
          <w:rFonts w:hint="eastAsia"/>
        </w:rPr>
        <w:t>食品生产许可管理办法（2020年修订版）（国家市场监督管理总局令第24号）</w:t>
      </w:r>
    </w:p>
    <w:p w14:paraId="01CB7F07">
      <w:pPr>
        <w:pStyle w:val="56"/>
        <w:ind w:firstLine="420"/>
      </w:pPr>
      <w:r>
        <w:rPr>
          <w:rFonts w:hint="eastAsia"/>
        </w:rPr>
        <w:t>[</w:t>
      </w:r>
      <w:r>
        <w:t xml:space="preserve">4] </w:t>
      </w:r>
      <w:r>
        <w:rPr>
          <w:rFonts w:hint="eastAsia"/>
        </w:rPr>
        <w:t>市场监管总局关于修订公布食品生产许可分类目录的公告（国家市场监督管理总局公告2020年第8号）</w:t>
      </w:r>
    </w:p>
    <w:p w14:paraId="76D4D2D5">
      <w:pPr>
        <w:pStyle w:val="56"/>
        <w:ind w:firstLine="420"/>
      </w:pPr>
      <w:r>
        <w:rPr>
          <w:rFonts w:hint="eastAsia"/>
        </w:rPr>
        <w:t>[</w:t>
      </w:r>
      <w:r>
        <w:t xml:space="preserve">5] </w:t>
      </w:r>
      <w:r>
        <w:rPr>
          <w:rFonts w:hint="eastAsia"/>
        </w:rPr>
        <w:t>国家市场监督管理总局关于发布《食品生产许可审查通则（2022版）》的公告 (2022年第33号)</w:t>
      </w:r>
    </w:p>
    <w:p w14:paraId="5DA9246C">
      <w:pPr>
        <w:pStyle w:val="56"/>
        <w:ind w:firstLine="420"/>
      </w:pPr>
      <w:r>
        <w:rPr>
          <w:rFonts w:hint="eastAsia"/>
        </w:rPr>
        <w:t>[</w:t>
      </w:r>
      <w:r>
        <w:t xml:space="preserve">6] </w:t>
      </w:r>
      <w:r>
        <w:rPr>
          <w:rFonts w:hint="eastAsia"/>
        </w:rPr>
        <w:t>国家市场监督管理总局关于发布《肉制品生产许可审查细则（2023版）》的公告（国家市场监督管理总局公告〔2023〕第34号）</w:t>
      </w:r>
    </w:p>
    <w:p w14:paraId="3CE73B7F">
      <w:pPr>
        <w:pStyle w:val="56"/>
        <w:ind w:firstLine="420"/>
      </w:pPr>
      <w:r>
        <w:t xml:space="preserve">[7] </w:t>
      </w:r>
      <w:r>
        <w:rPr>
          <w:rFonts w:hint="eastAsia"/>
        </w:rPr>
        <w:t>GB/T 15091-1994《食品工业基本术语》</w:t>
      </w:r>
    </w:p>
    <w:p w14:paraId="4EBD3D30">
      <w:pPr>
        <w:pStyle w:val="56"/>
        <w:ind w:firstLine="420"/>
      </w:pPr>
      <w:r>
        <w:t>[</w:t>
      </w:r>
      <w:r>
        <w:rPr>
          <w:rFonts w:hint="eastAsia"/>
        </w:rPr>
        <w:t>8</w:t>
      </w:r>
      <w:r>
        <w:t>]</w:t>
      </w:r>
      <w:r>
        <w:rPr>
          <w:rFonts w:hint="eastAsia"/>
        </w:rPr>
        <w:t xml:space="preserve"> GB 2760-2024 《食品安全国家标准 食品添加剂使用标准》</w:t>
      </w:r>
    </w:p>
    <w:p w14:paraId="4CE14B94">
      <w:pPr>
        <w:pStyle w:val="56"/>
        <w:ind w:firstLine="420"/>
      </w:pPr>
      <w:r>
        <w:t>[</w:t>
      </w:r>
      <w:r>
        <w:rPr>
          <w:rFonts w:hint="eastAsia"/>
        </w:rPr>
        <w:t>9</w:t>
      </w:r>
      <w:r>
        <w:t>]</w:t>
      </w:r>
      <w:r>
        <w:rPr>
          <w:rFonts w:hint="eastAsia"/>
        </w:rPr>
        <w:t xml:space="preserve"> GB 31646-2018 《食品安全国家标准 速冻食品生产和经营卫生规范》</w:t>
      </w:r>
    </w:p>
    <w:p w14:paraId="7A1D513E">
      <w:pPr>
        <w:pStyle w:val="56"/>
        <w:ind w:firstLine="420"/>
      </w:pPr>
      <w:r>
        <w:t>[</w:t>
      </w:r>
      <w:r>
        <w:rPr>
          <w:rFonts w:hint="eastAsia"/>
        </w:rPr>
        <w:t>10</w:t>
      </w:r>
      <w:r>
        <w:t>]</w:t>
      </w:r>
      <w:r>
        <w:rPr>
          <w:rFonts w:hint="eastAsia"/>
        </w:rPr>
        <w:t>GB/T 44881-2023 《食品生产质量控制与管理通用技术规范》</w:t>
      </w:r>
    </w:p>
    <w:bookmarkEnd w:id="191"/>
    <w:p w14:paraId="60C3EF9C">
      <w:pPr>
        <w:pStyle w:val="56"/>
        <w:ind w:firstLine="0" w:firstLineChars="0"/>
        <w:jc w:val="center"/>
      </w:pPr>
      <w:bookmarkStart w:id="19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96"/>
    </w:p>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光敦韵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EC2E">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23E0">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B9350">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3768">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1086">
    <w:pPr>
      <w:pStyle w:val="5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8972C">
                          <w:pPr>
                            <w:pStyle w:val="52"/>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C18972C">
                    <w:pPr>
                      <w:pStyle w:val="52"/>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BAF2">
    <w:pPr>
      <w:pStyle w:val="51"/>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BDC91">
                          <w:pPr>
                            <w:pStyle w:val="51"/>
                          </w:pPr>
                          <w:r>
                            <w:fldChar w:fldCharType="begin"/>
                          </w:r>
                          <w:r>
                            <w:instrText xml:space="preserve"> PAGE   \* MERGEFORMAT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9BDC91">
                    <w:pPr>
                      <w:pStyle w:val="51"/>
                    </w:pPr>
                    <w:r>
                      <w:fldChar w:fldCharType="begin"/>
                    </w:r>
                    <w:r>
                      <w:instrText xml:space="preserve"> PAGE   \* MERGEFORMAT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F2EF">
    <w:pPr>
      <w:pStyle w:val="52"/>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7B818">
                          <w:pPr>
                            <w:pStyle w:val="52"/>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A07B818">
                    <w:pPr>
                      <w:pStyle w:val="52"/>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334E">
    <w:pPr>
      <w:pStyle w:val="51"/>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48C3E">
                          <w:pPr>
                            <w:pStyle w:val="51"/>
                          </w:pPr>
                          <w:r>
                            <w:fldChar w:fldCharType="begin"/>
                          </w:r>
                          <w:r>
                            <w:instrText xml:space="preserve"> PAGE   \* MERGEFORMAT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5748C3E">
                    <w:pPr>
                      <w:pStyle w:val="51"/>
                    </w:pPr>
                    <w:r>
                      <w:fldChar w:fldCharType="begin"/>
                    </w:r>
                    <w:r>
                      <w:instrText xml:space="preserve"> PAGE   \* MERGEFORMAT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D9D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F1F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13E2">
    <w:pPr>
      <w:pStyle w:val="61"/>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6FDD">
    <w:pPr>
      <w:pStyle w:val="62"/>
      <w:rPr>
        <w:rFonts w:hint="eastAsia"/>
      </w:rPr>
    </w:pPr>
    <w:r>
      <w:rPr>
        <w:rFonts w:hint="eastAsia"/>
      </w:rPr>
      <w:t>GB/T XXXXX—XXXX</w:t>
    </w:r>
  </w:p>
  <w:p w14:paraId="07092A4F">
    <w:pPr>
      <w:pStyle w:val="62"/>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005">
    <w:pPr>
      <w:pStyle w:val="61"/>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CA6C">
    <w:pPr>
      <w:pStyle w:val="62"/>
      <w:rPr>
        <w:rFonts w:hint="eastAsia"/>
      </w:rPr>
    </w:pPr>
    <w:r>
      <w:rPr>
        <w:rFonts w:hint="eastAsia"/>
      </w:rPr>
      <w:t>GB/T XXXXX—XXXX</w:t>
    </w:r>
  </w:p>
  <w:p w14:paraId="2E0A5D37">
    <w:pPr>
      <w:pStyle w:val="62"/>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1D29B">
    <w:pPr>
      <w:pStyle w:val="61"/>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12DA">
    <w:pPr>
      <w:pStyle w:val="62"/>
      <w:rPr>
        <w:rFonts w:hint="eastAsia"/>
      </w:rPr>
    </w:pPr>
    <w:r>
      <w:rPr>
        <w:rFonts w:hint="eastAsia"/>
      </w:rPr>
      <w:t>GB/T XXXXX—XXXX</w:t>
    </w:r>
  </w:p>
  <w:p w14:paraId="120500E0">
    <w:pPr>
      <w:pStyle w:val="6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56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dit="forms" w:enforcement="1" w:cryptProviderType="rsaFull" w:cryptAlgorithmClass="hash" w:cryptAlgorithmType="typeAny" w:cryptAlgorithmSid="4" w:cryptSpinCount="0" w:hash="smV8q0Malnh+IX9UzedcFrre7Eo=" w:salt="z0mwEEjauoDCCzLNokTZaw=="/>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3MjVmZjQ1YTcyN2E3MjNhODQzZWEyOGEwOWE3MGIifQ=="/>
  </w:docVars>
  <w:rsids>
    <w:rsidRoot w:val="00D7246E"/>
    <w:rsid w:val="0000040A"/>
    <w:rsid w:val="00000A94"/>
    <w:rsid w:val="00001972"/>
    <w:rsid w:val="00001D9A"/>
    <w:rsid w:val="00007B3A"/>
    <w:rsid w:val="000107E0"/>
    <w:rsid w:val="00011FDE"/>
    <w:rsid w:val="00012FFD"/>
    <w:rsid w:val="00014162"/>
    <w:rsid w:val="00014340"/>
    <w:rsid w:val="00015F51"/>
    <w:rsid w:val="00016A9C"/>
    <w:rsid w:val="00022184"/>
    <w:rsid w:val="00022762"/>
    <w:rsid w:val="000238E0"/>
    <w:rsid w:val="000249DB"/>
    <w:rsid w:val="00025379"/>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8A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B6EED"/>
    <w:rsid w:val="000C0F6C"/>
    <w:rsid w:val="000C11DB"/>
    <w:rsid w:val="000C2FBD"/>
    <w:rsid w:val="000C3E10"/>
    <w:rsid w:val="000C47C7"/>
    <w:rsid w:val="000C4B41"/>
    <w:rsid w:val="000C57D6"/>
    <w:rsid w:val="000C7666"/>
    <w:rsid w:val="000D0A9C"/>
    <w:rsid w:val="000D1795"/>
    <w:rsid w:val="000D329A"/>
    <w:rsid w:val="000D4B9C"/>
    <w:rsid w:val="000D4EB6"/>
    <w:rsid w:val="000D753B"/>
    <w:rsid w:val="000E1817"/>
    <w:rsid w:val="000E349D"/>
    <w:rsid w:val="000E4C9E"/>
    <w:rsid w:val="000E6FD7"/>
    <w:rsid w:val="000E7E7E"/>
    <w:rsid w:val="000F06E1"/>
    <w:rsid w:val="000F0E3C"/>
    <w:rsid w:val="000F19D5"/>
    <w:rsid w:val="000F2E41"/>
    <w:rsid w:val="000F4AEA"/>
    <w:rsid w:val="000F6501"/>
    <w:rsid w:val="000F67E9"/>
    <w:rsid w:val="001016A7"/>
    <w:rsid w:val="00104926"/>
    <w:rsid w:val="00113B1E"/>
    <w:rsid w:val="0011711C"/>
    <w:rsid w:val="001224A7"/>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126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568"/>
    <w:rsid w:val="001913C4"/>
    <w:rsid w:val="0019348F"/>
    <w:rsid w:val="00193A07"/>
    <w:rsid w:val="00194C95"/>
    <w:rsid w:val="00195C34"/>
    <w:rsid w:val="001A1A53"/>
    <w:rsid w:val="001A234A"/>
    <w:rsid w:val="001B06E8"/>
    <w:rsid w:val="001B42DC"/>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2B0"/>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67AA"/>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0DF5"/>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307"/>
    <w:rsid w:val="002A4CEA"/>
    <w:rsid w:val="002A5977"/>
    <w:rsid w:val="002A5A13"/>
    <w:rsid w:val="002A7F44"/>
    <w:rsid w:val="002B0C40"/>
    <w:rsid w:val="002B1966"/>
    <w:rsid w:val="002B4508"/>
    <w:rsid w:val="002B5779"/>
    <w:rsid w:val="002B7332"/>
    <w:rsid w:val="002B7F51"/>
    <w:rsid w:val="002C09E7"/>
    <w:rsid w:val="002C1B28"/>
    <w:rsid w:val="002C2DAF"/>
    <w:rsid w:val="002C3F07"/>
    <w:rsid w:val="002C5278"/>
    <w:rsid w:val="002C5EB4"/>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4DA"/>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3F59"/>
    <w:rsid w:val="00394376"/>
    <w:rsid w:val="003943FF"/>
    <w:rsid w:val="003974EB"/>
    <w:rsid w:val="00397CC5"/>
    <w:rsid w:val="003A1582"/>
    <w:rsid w:val="003A4077"/>
    <w:rsid w:val="003A4BE2"/>
    <w:rsid w:val="003B09AD"/>
    <w:rsid w:val="003B1F18"/>
    <w:rsid w:val="003B5BF0"/>
    <w:rsid w:val="003B60BF"/>
    <w:rsid w:val="003B6BE3"/>
    <w:rsid w:val="003C010C"/>
    <w:rsid w:val="003C0A6C"/>
    <w:rsid w:val="003C5A43"/>
    <w:rsid w:val="003D0519"/>
    <w:rsid w:val="003D0FF6"/>
    <w:rsid w:val="003D252D"/>
    <w:rsid w:val="003D262C"/>
    <w:rsid w:val="003D6D61"/>
    <w:rsid w:val="003E091D"/>
    <w:rsid w:val="003E0B8E"/>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67C9"/>
    <w:rsid w:val="00407D39"/>
    <w:rsid w:val="0041477A"/>
    <w:rsid w:val="004167A3"/>
    <w:rsid w:val="004266CA"/>
    <w:rsid w:val="00431D8E"/>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86D85"/>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4B0B"/>
    <w:rsid w:val="004F6456"/>
    <w:rsid w:val="004F696E"/>
    <w:rsid w:val="004F6C71"/>
    <w:rsid w:val="00501139"/>
    <w:rsid w:val="0050256E"/>
    <w:rsid w:val="0050363E"/>
    <w:rsid w:val="005039BC"/>
    <w:rsid w:val="005043BB"/>
    <w:rsid w:val="00504A3D"/>
    <w:rsid w:val="00505767"/>
    <w:rsid w:val="005073F0"/>
    <w:rsid w:val="00510A7B"/>
    <w:rsid w:val="00512F6E"/>
    <w:rsid w:val="00513038"/>
    <w:rsid w:val="005139C7"/>
    <w:rsid w:val="00514174"/>
    <w:rsid w:val="00514DF9"/>
    <w:rsid w:val="005154E1"/>
    <w:rsid w:val="00516088"/>
    <w:rsid w:val="00516B0B"/>
    <w:rsid w:val="005220EC"/>
    <w:rsid w:val="00523461"/>
    <w:rsid w:val="00523F95"/>
    <w:rsid w:val="00524D65"/>
    <w:rsid w:val="00525B16"/>
    <w:rsid w:val="00530E13"/>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932"/>
    <w:rsid w:val="005C26A3"/>
    <w:rsid w:val="005C29B8"/>
    <w:rsid w:val="005C5F21"/>
    <w:rsid w:val="005C7156"/>
    <w:rsid w:val="005D0C75"/>
    <w:rsid w:val="005D4171"/>
    <w:rsid w:val="005D66E3"/>
    <w:rsid w:val="005D6A95"/>
    <w:rsid w:val="005D6B2C"/>
    <w:rsid w:val="005D6D9C"/>
    <w:rsid w:val="005D769A"/>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257"/>
    <w:rsid w:val="006A0403"/>
    <w:rsid w:val="006A07AA"/>
    <w:rsid w:val="006A25E5"/>
    <w:rsid w:val="006A2B46"/>
    <w:rsid w:val="006A336D"/>
    <w:rsid w:val="006A37B9"/>
    <w:rsid w:val="006A6384"/>
    <w:rsid w:val="006B2672"/>
    <w:rsid w:val="006B54BF"/>
    <w:rsid w:val="006B5F44"/>
    <w:rsid w:val="006B5F90"/>
    <w:rsid w:val="006B62E4"/>
    <w:rsid w:val="006C1BBA"/>
    <w:rsid w:val="006C2079"/>
    <w:rsid w:val="006C326D"/>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2B09"/>
    <w:rsid w:val="00704294"/>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067"/>
    <w:rsid w:val="007C2D89"/>
    <w:rsid w:val="007C3B8A"/>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2B4E"/>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055A"/>
    <w:rsid w:val="009429D5"/>
    <w:rsid w:val="00942BF1"/>
    <w:rsid w:val="00945180"/>
    <w:rsid w:val="00945428"/>
    <w:rsid w:val="0094607B"/>
    <w:rsid w:val="00952C52"/>
    <w:rsid w:val="00953604"/>
    <w:rsid w:val="009610DC"/>
    <w:rsid w:val="00961490"/>
    <w:rsid w:val="009637A4"/>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ABE"/>
    <w:rsid w:val="00A32D73"/>
    <w:rsid w:val="00A32ECE"/>
    <w:rsid w:val="00A3367B"/>
    <w:rsid w:val="00A3597D"/>
    <w:rsid w:val="00A40091"/>
    <w:rsid w:val="00A4030F"/>
    <w:rsid w:val="00A41C79"/>
    <w:rsid w:val="00A41CB5"/>
    <w:rsid w:val="00A42CDF"/>
    <w:rsid w:val="00A4452E"/>
    <w:rsid w:val="00A4472C"/>
    <w:rsid w:val="00A44E69"/>
    <w:rsid w:val="00A4661E"/>
    <w:rsid w:val="00A531A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0407"/>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D6AFD"/>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479"/>
    <w:rsid w:val="00B31FB1"/>
    <w:rsid w:val="00B33952"/>
    <w:rsid w:val="00B33C5E"/>
    <w:rsid w:val="00B342F4"/>
    <w:rsid w:val="00B34369"/>
    <w:rsid w:val="00B34DC2"/>
    <w:rsid w:val="00B358A5"/>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523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23EA"/>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0762F"/>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36D50"/>
    <w:rsid w:val="00C42130"/>
    <w:rsid w:val="00C423A4"/>
    <w:rsid w:val="00C44BF5"/>
    <w:rsid w:val="00C461CE"/>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5A9"/>
    <w:rsid w:val="00CA7AFD"/>
    <w:rsid w:val="00CA7C3C"/>
    <w:rsid w:val="00CB0189"/>
    <w:rsid w:val="00CB0BA2"/>
    <w:rsid w:val="00CB1A42"/>
    <w:rsid w:val="00CB1B0C"/>
    <w:rsid w:val="00CB2C0B"/>
    <w:rsid w:val="00CB4130"/>
    <w:rsid w:val="00CB517D"/>
    <w:rsid w:val="00CC038D"/>
    <w:rsid w:val="00CC38FE"/>
    <w:rsid w:val="00CC39FF"/>
    <w:rsid w:val="00CC3C2F"/>
    <w:rsid w:val="00CC4AC8"/>
    <w:rsid w:val="00CC5233"/>
    <w:rsid w:val="00CC5DE6"/>
    <w:rsid w:val="00CC6E4E"/>
    <w:rsid w:val="00CC6FE8"/>
    <w:rsid w:val="00CC7202"/>
    <w:rsid w:val="00CD18DE"/>
    <w:rsid w:val="00CD2808"/>
    <w:rsid w:val="00CD28BF"/>
    <w:rsid w:val="00CD4092"/>
    <w:rsid w:val="00CD4A20"/>
    <w:rsid w:val="00CD50A1"/>
    <w:rsid w:val="00CD519E"/>
    <w:rsid w:val="00CD51B0"/>
    <w:rsid w:val="00CE0C4F"/>
    <w:rsid w:val="00CE30EA"/>
    <w:rsid w:val="00CF048A"/>
    <w:rsid w:val="00CF155A"/>
    <w:rsid w:val="00CF2947"/>
    <w:rsid w:val="00CF44B1"/>
    <w:rsid w:val="00CF686F"/>
    <w:rsid w:val="00CF6E60"/>
    <w:rsid w:val="00CF7BCA"/>
    <w:rsid w:val="00D008FD"/>
    <w:rsid w:val="00D0321C"/>
    <w:rsid w:val="00D035EC"/>
    <w:rsid w:val="00D03C1B"/>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3939"/>
    <w:rsid w:val="00D4514F"/>
    <w:rsid w:val="00D451E2"/>
    <w:rsid w:val="00D4545E"/>
    <w:rsid w:val="00D45E89"/>
    <w:rsid w:val="00D45E8D"/>
    <w:rsid w:val="00D466AE"/>
    <w:rsid w:val="00D4734F"/>
    <w:rsid w:val="00D51BF3"/>
    <w:rsid w:val="00D63276"/>
    <w:rsid w:val="00D66846"/>
    <w:rsid w:val="00D675FB"/>
    <w:rsid w:val="00D71F25"/>
    <w:rsid w:val="00D7246E"/>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F1F"/>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A22"/>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381"/>
    <w:rsid w:val="00E95D13"/>
    <w:rsid w:val="00E95DD3"/>
    <w:rsid w:val="00E969D5"/>
    <w:rsid w:val="00EA028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13BF"/>
    <w:rsid w:val="00F25BB6"/>
    <w:rsid w:val="00F26B7E"/>
    <w:rsid w:val="00F273AD"/>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87662"/>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0B5"/>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67F8"/>
    <w:rsid w:val="00FE7E79"/>
    <w:rsid w:val="00FF1717"/>
    <w:rsid w:val="00FF3E7D"/>
    <w:rsid w:val="00FF5B99"/>
    <w:rsid w:val="00FF730C"/>
    <w:rsid w:val="00FF73F4"/>
    <w:rsid w:val="00FF7CE4"/>
    <w:rsid w:val="00FF7E39"/>
    <w:rsid w:val="095708CD"/>
    <w:rsid w:val="0AA34EFA"/>
    <w:rsid w:val="13DB670F"/>
    <w:rsid w:val="14806853"/>
    <w:rsid w:val="1A622AE9"/>
    <w:rsid w:val="1BA26971"/>
    <w:rsid w:val="25FA5E52"/>
    <w:rsid w:val="447F19D8"/>
    <w:rsid w:val="55E1551E"/>
    <w:rsid w:val="578F0960"/>
    <w:rsid w:val="58682521"/>
    <w:rsid w:val="590C0FA8"/>
    <w:rsid w:val="5A3E7348"/>
    <w:rsid w:val="5F9032B9"/>
    <w:rsid w:val="61274EA4"/>
    <w:rsid w:val="62DA5CCA"/>
    <w:rsid w:val="6BE35EE4"/>
    <w:rsid w:val="715B3690"/>
    <w:rsid w:val="72F21A1C"/>
    <w:rsid w:val="731359BE"/>
    <w:rsid w:val="77D0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tif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F901F892454B889F9938A29A044210"/>
        <w:style w:val=""/>
        <w:category>
          <w:name w:val="常规"/>
          <w:gallery w:val="placeholder"/>
        </w:category>
        <w:types>
          <w:type w:val="bbPlcHdr"/>
        </w:types>
        <w:behaviors>
          <w:behavior w:val="content"/>
        </w:behaviors>
        <w:description w:val=""/>
        <w:guid w:val="{CA5ED8E7-AAC7-4490-9BC5-EFD92ADBA700}"/>
      </w:docPartPr>
      <w:docPartBody>
        <w:p w14:paraId="7E0098CB">
          <w:pPr>
            <w:pStyle w:val="5"/>
            <w:rPr>
              <w:rFonts w:hint="eastAsia"/>
            </w:rPr>
          </w:pPr>
          <w:r>
            <w:rPr>
              <w:rStyle w:val="4"/>
              <w:rFonts w:hint="eastAsia"/>
            </w:rPr>
            <w:t>单击或点击此处输入文字。</w:t>
          </w:r>
        </w:p>
      </w:docPartBody>
    </w:docPart>
    <w:docPart>
      <w:docPartPr>
        <w:name w:val="946BEDCC7E1744C5ACEC7919B6C9211D"/>
        <w:style w:val=""/>
        <w:category>
          <w:name w:val="常规"/>
          <w:gallery w:val="placeholder"/>
        </w:category>
        <w:types>
          <w:type w:val="bbPlcHdr"/>
        </w:types>
        <w:behaviors>
          <w:behavior w:val="content"/>
        </w:behaviors>
        <w:description w:val=""/>
        <w:guid w:val="{F8953495-A37B-43B7-BFCB-C167127B71D3}"/>
      </w:docPartPr>
      <w:docPartBody>
        <w:p w14:paraId="1FC51CD8">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57A"/>
    <w:rsid w:val="000E2E76"/>
    <w:rsid w:val="000E349D"/>
    <w:rsid w:val="000F1587"/>
    <w:rsid w:val="00102316"/>
    <w:rsid w:val="00111EBF"/>
    <w:rsid w:val="001B42DC"/>
    <w:rsid w:val="0047541B"/>
    <w:rsid w:val="004C7ABA"/>
    <w:rsid w:val="004F78AD"/>
    <w:rsid w:val="005C26A3"/>
    <w:rsid w:val="006602FA"/>
    <w:rsid w:val="006E4B4F"/>
    <w:rsid w:val="006E535A"/>
    <w:rsid w:val="00791451"/>
    <w:rsid w:val="008079B0"/>
    <w:rsid w:val="0092057A"/>
    <w:rsid w:val="00E16245"/>
    <w:rsid w:val="00EB3687"/>
    <w:rsid w:val="00F9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F901F892454B889F9938A29A0442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46BEDCC7E1744C5ACEC7919B6C9211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31A329-6797-40A9-9D20-544745C1BA28}">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10</Pages>
  <Words>2791</Words>
  <Characters>3238</Characters>
  <Lines>28</Lines>
  <Paragraphs>7</Paragraphs>
  <TotalTime>5</TotalTime>
  <ScaleCrop>false</ScaleCrop>
  <LinksUpToDate>false</LinksUpToDate>
  <CharactersWithSpaces>3346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2025-02-05T03:19:00Z</dcterms:created>
  <dc:creator>刘鹏</dc:creator>
  <dc:description>&lt;config cover="true" show_menu="true" version="1.0.0" doctype="SDKXY"&gt;_x000d_
&lt;/config&gt;</dc:description>
  <cp:lastModifiedBy>刘鹏</cp:lastModifiedBy>
  <cp:lastPrinted>2026-01-23T10:20:00Z</cp:lastPrinted>
  <dcterms:modified xsi:type="dcterms:W3CDTF">2026-01-27T08:37:14Z</dcterms:modified>
  <dc:title>国家标准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881A1EA9CFEA4CD295C77BE869E4C8A4_13</vt:lpwstr>
  </property>
  <property fmtid="{D5CDD505-2E9C-101B-9397-08002B2CF9AE}" pid="17" name="KSOTemplateDocerSaveRecord">
    <vt:lpwstr>eyJoZGlkIjoiYjY3ODQ4ZDA1N2IwODNmNTI1NjE4OGJmNmE2NTFlODUiLCJ1c2VySWQiOiI0OTc5ODU5MTgifQ==</vt:lpwstr>
  </property>
</Properties>
</file>