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4D4F31">
      <w:pPr>
        <w:pStyle w:val="3"/>
        <w:keepNext w:val="0"/>
        <w:keepLines w:val="0"/>
        <w:pageBreakBefore w:val="0"/>
        <w:widowControl w:val="0"/>
        <w:kinsoku/>
        <w:wordWrap/>
        <w:bidi w:val="0"/>
        <w:adjustRightInd/>
        <w:spacing w:line="594" w:lineRule="exact"/>
        <w:ind w:firstLine="0" w:firstLineChars="0"/>
        <w:jc w:val="both"/>
        <w:textAlignment w:val="auto"/>
        <w:rPr>
          <w:rFonts w:hint="default" w:ascii="Times New Roman" w:hAnsi="Times New Roman" w:eastAsia="黑体" w:cs="Times New Roman"/>
          <w:sz w:val="32"/>
          <w:szCs w:val="32"/>
          <w:lang w:val="en-US" w:eastAsia="zh-CN"/>
        </w:rPr>
      </w:pPr>
      <w:bookmarkStart w:id="1" w:name="_GoBack"/>
      <w:bookmarkEnd w:id="1"/>
      <w:r>
        <w:rPr>
          <w:rFonts w:hint="default" w:ascii="Times New Roman" w:hAnsi="Times New Roman" w:eastAsia="黑体" w:cs="Times New Roman"/>
          <w:sz w:val="32"/>
          <w:szCs w:val="32"/>
          <w:lang w:val="en-US" w:eastAsia="zh-CN"/>
        </w:rPr>
        <w:t>附件2</w:t>
      </w:r>
    </w:p>
    <w:p w14:paraId="302ECFC8">
      <w:pPr>
        <w:keepNext w:val="0"/>
        <w:keepLines w:val="0"/>
        <w:pageBreakBefore w:val="0"/>
        <w:widowControl w:val="0"/>
        <w:kinsoku/>
        <w:wordWrap/>
        <w:bidi w:val="0"/>
        <w:adjustRightInd/>
        <w:snapToGrid/>
        <w:spacing w:line="594" w:lineRule="exact"/>
        <w:jc w:val="center"/>
        <w:textAlignment w:val="auto"/>
        <w:rPr>
          <w:rFonts w:hint="eastAsia" w:eastAsia="方正小标宋简体" w:cs="Times New Roman"/>
          <w:color w:val="000000"/>
          <w:sz w:val="44"/>
          <w:szCs w:val="44"/>
          <w:lang w:val="en-US" w:eastAsia="zh-CN"/>
        </w:rPr>
      </w:pPr>
    </w:p>
    <w:p w14:paraId="326038D5">
      <w:pPr>
        <w:keepNext w:val="0"/>
        <w:keepLines w:val="0"/>
        <w:pageBreakBefore w:val="0"/>
        <w:widowControl w:val="0"/>
        <w:kinsoku/>
        <w:wordWrap/>
        <w:bidi w:val="0"/>
        <w:adjustRightInd/>
        <w:snapToGrid/>
        <w:spacing w:line="594" w:lineRule="exact"/>
        <w:jc w:val="center"/>
        <w:textAlignment w:val="auto"/>
        <w:rPr>
          <w:rFonts w:hint="eastAsia" w:eastAsia="方正小标宋简体" w:cs="Times New Roman"/>
          <w:color w:val="000000"/>
          <w:sz w:val="44"/>
          <w:szCs w:val="44"/>
          <w:lang w:val="en-US" w:eastAsia="zh-CN"/>
        </w:rPr>
      </w:pPr>
      <w:r>
        <w:rPr>
          <w:rFonts w:hint="eastAsia" w:eastAsia="方正小标宋简体" w:cs="Times New Roman"/>
          <w:color w:val="000000"/>
          <w:sz w:val="44"/>
          <w:szCs w:val="44"/>
          <w:lang w:val="en-US" w:eastAsia="zh-CN"/>
        </w:rPr>
        <w:t>关于《中华人民共和国食品安全法</w:t>
      </w:r>
    </w:p>
    <w:p w14:paraId="01EFD142">
      <w:pPr>
        <w:keepNext w:val="0"/>
        <w:keepLines w:val="0"/>
        <w:pageBreakBefore w:val="0"/>
        <w:widowControl w:val="0"/>
        <w:kinsoku/>
        <w:wordWrap/>
        <w:bidi w:val="0"/>
        <w:adjustRightInd/>
        <w:snapToGrid/>
        <w:spacing w:line="594" w:lineRule="exact"/>
        <w:jc w:val="center"/>
        <w:textAlignment w:val="auto"/>
        <w:rPr>
          <w:rFonts w:hint="eastAsia" w:eastAsia="方正小标宋简体" w:cs="Times New Roman"/>
          <w:color w:val="000000"/>
          <w:sz w:val="44"/>
          <w:szCs w:val="44"/>
          <w:lang w:val="en-US" w:eastAsia="zh-CN"/>
        </w:rPr>
      </w:pPr>
      <w:r>
        <w:rPr>
          <w:rFonts w:hint="eastAsia" w:eastAsia="方正小标宋简体" w:cs="Times New Roman"/>
          <w:color w:val="000000"/>
          <w:sz w:val="44"/>
          <w:szCs w:val="44"/>
          <w:lang w:val="en-US" w:eastAsia="zh-CN"/>
        </w:rPr>
        <w:t>（修正草案征求意见稿）》的说明</w:t>
      </w:r>
    </w:p>
    <w:p w14:paraId="2253C510">
      <w:pPr>
        <w:keepNext w:val="0"/>
        <w:keepLines w:val="0"/>
        <w:pageBreakBefore w:val="0"/>
        <w:widowControl w:val="0"/>
        <w:numPr>
          <w:ilvl w:val="0"/>
          <w:numId w:val="0"/>
        </w:numPr>
        <w:kinsoku/>
        <w:wordWrap/>
        <w:overflowPunct/>
        <w:topLinePunct w:val="0"/>
        <w:autoSpaceDE w:val="0"/>
        <w:autoSpaceDN w:val="0"/>
        <w:bidi w:val="0"/>
        <w:adjustRightInd/>
        <w:snapToGrid/>
        <w:spacing w:line="594" w:lineRule="exact"/>
        <w:jc w:val="both"/>
        <w:textAlignment w:val="auto"/>
        <w:outlineLvl w:val="9"/>
        <w:rPr>
          <w:rFonts w:hint="default" w:ascii="Times New Roman" w:hAnsi="Times New Roman" w:eastAsia="仿宋_GB2312" w:cs="Times New Roman"/>
          <w:color w:val="000000"/>
          <w:sz w:val="32"/>
          <w:szCs w:val="32"/>
          <w:lang w:eastAsia="zh-CN"/>
        </w:rPr>
      </w:pPr>
    </w:p>
    <w:p w14:paraId="504E300F">
      <w:pPr>
        <w:keepNext w:val="0"/>
        <w:keepLines w:val="0"/>
        <w:pageBreakBefore w:val="0"/>
        <w:widowControl w:val="0"/>
        <w:numPr>
          <w:ilvl w:val="0"/>
          <w:numId w:val="0"/>
        </w:numPr>
        <w:kinsoku/>
        <w:wordWrap/>
        <w:overflowPunct/>
        <w:topLinePunct w:val="0"/>
        <w:autoSpaceDE w:val="0"/>
        <w:autoSpaceDN w:val="0"/>
        <w:bidi w:val="0"/>
        <w:adjustRightInd/>
        <w:snapToGrid w:val="0"/>
        <w:spacing w:line="594" w:lineRule="exact"/>
        <w:ind w:firstLine="632"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cs="Times New Roman"/>
          <w:color w:val="000000"/>
          <w:kern w:val="0"/>
          <w:sz w:val="32"/>
          <w:szCs w:val="32"/>
          <w:lang w:val="en-US" w:eastAsia="zh-CN"/>
        </w:rPr>
        <w:t>为规范重点液态类食品散装运输行为，</w:t>
      </w:r>
      <w:r>
        <w:rPr>
          <w:rFonts w:hint="eastAsia" w:cs="Times New Roman"/>
          <w:color w:val="000000"/>
          <w:kern w:val="0"/>
          <w:sz w:val="32"/>
          <w:szCs w:val="32"/>
          <w:lang w:val="en-US" w:eastAsia="zh-CN"/>
        </w:rPr>
        <w:t>防范全链条食品安全风险，</w:t>
      </w:r>
      <w:r>
        <w:rPr>
          <w:rFonts w:hint="eastAsia" w:ascii="Times New Roman" w:hAnsi="Times New Roman" w:cs="Times New Roman"/>
          <w:color w:val="000000"/>
          <w:kern w:val="0"/>
          <w:sz w:val="32"/>
          <w:szCs w:val="32"/>
          <w:lang w:val="en-US" w:eastAsia="zh-CN"/>
        </w:rPr>
        <w:t>市场监管总局拟对</w:t>
      </w:r>
      <w:r>
        <w:rPr>
          <w:rFonts w:hint="eastAsia" w:cs="Times New Roman"/>
          <w:color w:val="000000"/>
          <w:kern w:val="0"/>
          <w:sz w:val="32"/>
          <w:szCs w:val="32"/>
          <w:lang w:val="en-US" w:eastAsia="zh-CN"/>
        </w:rPr>
        <w:t>食用油等</w:t>
      </w:r>
      <w:r>
        <w:rPr>
          <w:rFonts w:hint="eastAsia" w:ascii="Times New Roman" w:hAnsi="Times New Roman" w:cs="Times New Roman"/>
          <w:color w:val="000000"/>
          <w:kern w:val="0"/>
          <w:sz w:val="32"/>
          <w:szCs w:val="32"/>
          <w:lang w:val="en-US" w:eastAsia="zh-CN"/>
        </w:rPr>
        <w:t>重点液态类食品散装运输实施</w:t>
      </w:r>
      <w:r>
        <w:rPr>
          <w:rFonts w:hint="eastAsia" w:cs="Times New Roman"/>
          <w:color w:val="000000"/>
          <w:kern w:val="0"/>
          <w:sz w:val="32"/>
          <w:szCs w:val="32"/>
          <w:lang w:val="en-US" w:eastAsia="zh-CN"/>
        </w:rPr>
        <w:t>许可</w:t>
      </w:r>
      <w:r>
        <w:rPr>
          <w:rFonts w:hint="eastAsia" w:ascii="Times New Roman" w:hAnsi="Times New Roman" w:cs="Times New Roman"/>
          <w:color w:val="000000"/>
          <w:kern w:val="0"/>
          <w:sz w:val="32"/>
          <w:szCs w:val="32"/>
          <w:lang w:val="en-US" w:eastAsia="zh-CN"/>
        </w:rPr>
        <w:t>管理，研究起草了《中华人民共和国食品安全法（修正草案征求意见稿）》</w:t>
      </w:r>
      <w:r>
        <w:rPr>
          <w:rFonts w:hint="eastAsia" w:cs="Times New Roman"/>
          <w:color w:val="000000"/>
          <w:sz w:val="32"/>
          <w:szCs w:val="32"/>
          <w:lang w:val="en-US" w:eastAsia="zh-CN"/>
        </w:rPr>
        <w:t>。</w:t>
      </w:r>
    </w:p>
    <w:p w14:paraId="6AD921D1">
      <w:pPr>
        <w:keepNext w:val="0"/>
        <w:keepLines w:val="0"/>
        <w:pageBreakBefore w:val="0"/>
        <w:widowControl w:val="0"/>
        <w:numPr>
          <w:ilvl w:val="0"/>
          <w:numId w:val="2"/>
        </w:numPr>
        <w:kinsoku/>
        <w:wordWrap/>
        <w:overflowPunct/>
        <w:topLinePunct w:val="0"/>
        <w:autoSpaceDE w:val="0"/>
        <w:autoSpaceDN w:val="0"/>
        <w:bidi w:val="0"/>
        <w:adjustRightInd/>
        <w:snapToGrid w:val="0"/>
        <w:spacing w:line="594" w:lineRule="exact"/>
        <w:ind w:firstLine="632" w:firstLineChars="200"/>
        <w:jc w:val="both"/>
        <w:textAlignment w:val="auto"/>
        <w:outlineLvl w:val="9"/>
        <w:rPr>
          <w:rFonts w:eastAsia="黑体"/>
          <w:snapToGrid w:val="0"/>
          <w:color w:val="000000"/>
          <w:kern w:val="0"/>
          <w:szCs w:val="32"/>
        </w:rPr>
      </w:pPr>
      <w:r>
        <w:rPr>
          <w:rFonts w:eastAsia="黑体"/>
          <w:snapToGrid w:val="0"/>
          <w:color w:val="000000"/>
          <w:kern w:val="0"/>
          <w:szCs w:val="32"/>
        </w:rPr>
        <w:t>修订必要性</w:t>
      </w:r>
    </w:p>
    <w:p w14:paraId="0399F00D">
      <w:pPr>
        <w:autoSpaceDE/>
        <w:autoSpaceDN/>
        <w:spacing w:line="600" w:lineRule="exact"/>
        <w:ind w:left="0" w:firstLine="632" w:firstLineChars="200"/>
        <w:rPr>
          <w:rFonts w:hint="default" w:ascii="Times New Roman" w:hAnsi="Times New Roman" w:eastAsia="仿宋_GB2312" w:cs="Times New Roman"/>
          <w:b w:val="0"/>
          <w:spacing w:val="0"/>
          <w:kern w:val="2"/>
          <w:sz w:val="32"/>
          <w:szCs w:val="32"/>
          <w:lang w:val="en-US" w:eastAsia="zh-CN" w:bidi="ar-SA"/>
        </w:rPr>
      </w:pPr>
      <w:r>
        <w:rPr>
          <w:rFonts w:hint="eastAsia" w:ascii="Times New Roman" w:hAnsi="Times New Roman" w:eastAsia="仿宋_GB2312" w:cs="Times New Roman"/>
          <w:color w:val="000000"/>
          <w:kern w:val="0"/>
          <w:sz w:val="32"/>
          <w:szCs w:val="32"/>
          <w:lang w:eastAsia="zh-CN"/>
        </w:rPr>
        <w:t>食品运输包括运输工具清洗及食品的装卸、运输、交付等，连接食品生产、经营、消费各环节，在保障全链条食品安全中不可或缺，其保障效果对食品安全产生越来越大的影响。</w:t>
      </w:r>
      <w:r>
        <w:rPr>
          <w:rFonts w:hint="eastAsia" w:ascii="Times New Roman" w:hAnsi="Times New Roman" w:cs="Times New Roman"/>
          <w:b w:val="0"/>
          <w:spacing w:val="0"/>
          <w:kern w:val="2"/>
          <w:sz w:val="32"/>
          <w:szCs w:val="32"/>
          <w:lang w:val="en-US" w:eastAsia="zh-CN" w:bidi="ar-SA"/>
        </w:rPr>
        <w:t>相关食品安全法律法规和食品安全标准</w:t>
      </w:r>
      <w:r>
        <w:rPr>
          <w:rFonts w:hint="eastAsia" w:cs="Times New Roman"/>
          <w:b w:val="0"/>
          <w:spacing w:val="0"/>
          <w:kern w:val="2"/>
          <w:sz w:val="32"/>
          <w:szCs w:val="32"/>
          <w:lang w:val="en-US" w:eastAsia="zh-CN" w:bidi="ar-SA"/>
        </w:rPr>
        <w:t>已</w:t>
      </w:r>
      <w:r>
        <w:rPr>
          <w:rFonts w:hint="eastAsia" w:ascii="Times New Roman" w:hAnsi="Times New Roman" w:cs="Times New Roman"/>
          <w:b w:val="0"/>
          <w:spacing w:val="0"/>
          <w:kern w:val="2"/>
          <w:sz w:val="32"/>
          <w:szCs w:val="32"/>
          <w:lang w:val="en-US" w:eastAsia="zh-CN" w:bidi="ar-SA"/>
        </w:rPr>
        <w:t>明确</w:t>
      </w:r>
      <w:r>
        <w:rPr>
          <w:rFonts w:hint="default" w:ascii="Times New Roman" w:hAnsi="Times New Roman" w:eastAsia="仿宋_GB2312" w:cs="Times New Roman"/>
          <w:kern w:val="2"/>
          <w:sz w:val="32"/>
          <w:szCs w:val="24"/>
          <w:lang w:val="en-US" w:eastAsia="zh-CN"/>
        </w:rPr>
        <w:t>要求运输和装卸食品的容器、工具和设备应当安全、无害，</w:t>
      </w:r>
      <w:r>
        <w:rPr>
          <w:rFonts w:hint="eastAsia" w:ascii="Times New Roman" w:hAnsi="Times New Roman" w:cs="Times New Roman"/>
          <w:kern w:val="2"/>
          <w:sz w:val="32"/>
          <w:szCs w:val="24"/>
          <w:lang w:val="en-US" w:eastAsia="zh-CN"/>
        </w:rPr>
        <w:t>保证清洁，</w:t>
      </w:r>
      <w:r>
        <w:rPr>
          <w:rFonts w:hint="default" w:ascii="Times New Roman" w:hAnsi="Times New Roman" w:eastAsia="仿宋_GB2312" w:cs="Times New Roman"/>
          <w:kern w:val="2"/>
          <w:sz w:val="32"/>
          <w:szCs w:val="24"/>
          <w:lang w:val="en-US" w:eastAsia="zh-CN"/>
        </w:rPr>
        <w:t>防止食品污染</w:t>
      </w:r>
      <w:r>
        <w:rPr>
          <w:rFonts w:hint="eastAsia" w:ascii="Times New Roman" w:hAnsi="Times New Roman" w:cs="Times New Roman"/>
          <w:kern w:val="2"/>
          <w:sz w:val="32"/>
          <w:szCs w:val="24"/>
          <w:lang w:val="en-US" w:eastAsia="zh-CN"/>
        </w:rPr>
        <w:t>，</w:t>
      </w:r>
      <w:r>
        <w:rPr>
          <w:rFonts w:hint="eastAsia" w:cs="Times New Roman"/>
          <w:kern w:val="2"/>
          <w:sz w:val="32"/>
          <w:szCs w:val="24"/>
          <w:lang w:val="en-US" w:eastAsia="zh-CN"/>
        </w:rPr>
        <w:t>但</w:t>
      </w:r>
      <w:r>
        <w:rPr>
          <w:rFonts w:hint="eastAsia" w:ascii="Times New Roman" w:hAnsi="Times New Roman" w:cs="Times New Roman"/>
          <w:b w:val="0"/>
          <w:spacing w:val="0"/>
          <w:kern w:val="2"/>
          <w:sz w:val="32"/>
          <w:szCs w:val="32"/>
          <w:lang w:val="en-US" w:eastAsia="zh-CN" w:bidi="ar-SA"/>
        </w:rPr>
        <w:t>尚</w:t>
      </w:r>
      <w:r>
        <w:rPr>
          <w:rFonts w:hint="default" w:ascii="Times New Roman" w:hAnsi="Times New Roman" w:eastAsia="仿宋_GB2312" w:cs="Times New Roman"/>
          <w:b w:val="0"/>
          <w:spacing w:val="0"/>
          <w:kern w:val="2"/>
          <w:sz w:val="32"/>
          <w:szCs w:val="32"/>
          <w:lang w:val="en-US" w:eastAsia="zh-CN" w:bidi="ar-SA"/>
        </w:rPr>
        <w:t>未对从事食品运输需要满足的设施设备、人员</w:t>
      </w:r>
      <w:r>
        <w:rPr>
          <w:rFonts w:hint="eastAsia" w:ascii="Times New Roman" w:hAnsi="Times New Roman" w:cs="Times New Roman"/>
          <w:b w:val="0"/>
          <w:spacing w:val="0"/>
          <w:kern w:val="2"/>
          <w:sz w:val="32"/>
          <w:szCs w:val="32"/>
          <w:lang w:val="en-US" w:eastAsia="zh-CN" w:bidi="ar-SA"/>
        </w:rPr>
        <w:t>资质</w:t>
      </w:r>
      <w:r>
        <w:rPr>
          <w:rFonts w:hint="default" w:ascii="Times New Roman" w:hAnsi="Times New Roman" w:eastAsia="仿宋_GB2312" w:cs="Times New Roman"/>
          <w:b w:val="0"/>
          <w:spacing w:val="0"/>
          <w:kern w:val="2"/>
          <w:sz w:val="32"/>
          <w:szCs w:val="32"/>
          <w:lang w:val="en-US" w:eastAsia="zh-CN" w:bidi="ar-SA"/>
        </w:rPr>
        <w:t>、</w:t>
      </w:r>
      <w:r>
        <w:rPr>
          <w:rFonts w:hint="eastAsia" w:ascii="Times New Roman" w:hAnsi="Times New Roman" w:cs="Times New Roman"/>
          <w:b w:val="0"/>
          <w:spacing w:val="0"/>
          <w:kern w:val="2"/>
          <w:sz w:val="32"/>
          <w:szCs w:val="32"/>
          <w:lang w:val="en-US" w:eastAsia="zh-CN" w:bidi="ar-SA"/>
        </w:rPr>
        <w:t>管理</w:t>
      </w:r>
      <w:r>
        <w:rPr>
          <w:rFonts w:hint="default" w:ascii="Times New Roman" w:hAnsi="Times New Roman" w:eastAsia="仿宋_GB2312" w:cs="Times New Roman"/>
          <w:b w:val="0"/>
          <w:spacing w:val="0"/>
          <w:kern w:val="2"/>
          <w:sz w:val="32"/>
          <w:szCs w:val="32"/>
          <w:lang w:val="en-US" w:eastAsia="zh-CN" w:bidi="ar-SA"/>
        </w:rPr>
        <w:t>制度等</w:t>
      </w:r>
      <w:r>
        <w:rPr>
          <w:rFonts w:hint="eastAsia" w:ascii="Times New Roman" w:hAnsi="Times New Roman" w:cs="Times New Roman"/>
          <w:b w:val="0"/>
          <w:spacing w:val="0"/>
          <w:kern w:val="2"/>
          <w:sz w:val="32"/>
          <w:szCs w:val="32"/>
          <w:lang w:val="en-US" w:eastAsia="zh-CN" w:bidi="ar-SA"/>
        </w:rPr>
        <w:t>作</w:t>
      </w:r>
      <w:r>
        <w:rPr>
          <w:rFonts w:hint="default" w:ascii="Times New Roman" w:hAnsi="Times New Roman" w:eastAsia="仿宋_GB2312" w:cs="Times New Roman"/>
          <w:b w:val="0"/>
          <w:spacing w:val="0"/>
          <w:kern w:val="2"/>
          <w:sz w:val="32"/>
          <w:szCs w:val="32"/>
          <w:lang w:val="en-US" w:eastAsia="zh-CN" w:bidi="ar-SA"/>
        </w:rPr>
        <w:t>出准入方面</w:t>
      </w:r>
      <w:r>
        <w:rPr>
          <w:rFonts w:hint="eastAsia" w:cs="Times New Roman"/>
          <w:b w:val="0"/>
          <w:spacing w:val="0"/>
          <w:kern w:val="2"/>
          <w:sz w:val="32"/>
          <w:szCs w:val="32"/>
          <w:lang w:val="en-US" w:eastAsia="zh-CN" w:bidi="ar-SA"/>
        </w:rPr>
        <w:t>的</w:t>
      </w:r>
      <w:r>
        <w:rPr>
          <w:rFonts w:hint="eastAsia" w:ascii="Times New Roman" w:hAnsi="Times New Roman" w:cs="Times New Roman"/>
          <w:b w:val="0"/>
          <w:spacing w:val="0"/>
          <w:kern w:val="2"/>
          <w:sz w:val="32"/>
          <w:szCs w:val="32"/>
          <w:lang w:val="en-US" w:eastAsia="zh-CN" w:bidi="ar-SA"/>
        </w:rPr>
        <w:t>规定</w:t>
      </w:r>
      <w:r>
        <w:rPr>
          <w:rFonts w:hint="default" w:ascii="Times New Roman" w:hAnsi="Times New Roman" w:eastAsia="仿宋_GB2312" w:cs="Times New Roman"/>
          <w:b w:val="0"/>
          <w:spacing w:val="0"/>
          <w:kern w:val="2"/>
          <w:sz w:val="32"/>
          <w:szCs w:val="32"/>
          <w:lang w:val="en-US" w:eastAsia="zh-CN" w:bidi="ar-SA"/>
        </w:rPr>
        <w:t>。</w:t>
      </w:r>
      <w:r>
        <w:rPr>
          <w:rFonts w:hint="eastAsia" w:cs="Times New Roman"/>
          <w:b w:val="0"/>
          <w:spacing w:val="0"/>
          <w:kern w:val="2"/>
          <w:sz w:val="32"/>
          <w:szCs w:val="32"/>
          <w:lang w:val="en-US" w:eastAsia="zh-CN" w:bidi="ar-SA"/>
        </w:rPr>
        <w:t>通过对</w:t>
      </w:r>
      <w:r>
        <w:rPr>
          <w:rFonts w:hint="eastAsia" w:ascii="Times New Roman" w:hAnsi="Times New Roman" w:cs="Times New Roman"/>
          <w:color w:val="000000"/>
          <w:kern w:val="0"/>
          <w:sz w:val="32"/>
          <w:szCs w:val="32"/>
          <w:lang w:val="en-US" w:eastAsia="zh-CN"/>
        </w:rPr>
        <w:t>重点液态类食品散装运输</w:t>
      </w:r>
      <w:r>
        <w:rPr>
          <w:rFonts w:hint="eastAsia" w:cs="Times New Roman"/>
          <w:color w:val="000000"/>
          <w:kern w:val="0"/>
          <w:sz w:val="32"/>
          <w:szCs w:val="32"/>
          <w:lang w:val="en-US" w:eastAsia="zh-CN"/>
        </w:rPr>
        <w:t>实施许可管理，明确</w:t>
      </w:r>
      <w:r>
        <w:rPr>
          <w:rFonts w:hint="default" w:ascii="Times New Roman" w:hAnsi="Times New Roman" w:eastAsia="仿宋_GB2312" w:cs="Times New Roman"/>
          <w:b w:val="0"/>
          <w:spacing w:val="0"/>
          <w:kern w:val="2"/>
          <w:sz w:val="32"/>
          <w:szCs w:val="32"/>
          <w:lang w:val="en-US" w:eastAsia="zh-CN" w:bidi="ar-SA"/>
        </w:rPr>
        <w:t>运输工具和容器等硬件条件，交付装卸运输各环节衔接、过程控制与记录等管理要求，</w:t>
      </w:r>
      <w:r>
        <w:rPr>
          <w:rFonts w:hint="eastAsia" w:ascii="Times New Roman" w:hAnsi="Times New Roman" w:cs="Times New Roman"/>
          <w:b w:val="0"/>
          <w:spacing w:val="0"/>
          <w:kern w:val="2"/>
          <w:sz w:val="32"/>
          <w:szCs w:val="32"/>
          <w:lang w:val="en-US" w:eastAsia="zh-CN" w:bidi="ar-SA"/>
        </w:rPr>
        <w:t>相关</w:t>
      </w:r>
      <w:r>
        <w:rPr>
          <w:rFonts w:hint="default" w:ascii="Times New Roman" w:hAnsi="Times New Roman" w:eastAsia="仿宋_GB2312" w:cs="Times New Roman"/>
          <w:b w:val="0"/>
          <w:spacing w:val="0"/>
          <w:kern w:val="2"/>
          <w:sz w:val="32"/>
          <w:szCs w:val="32"/>
          <w:lang w:val="en-US" w:eastAsia="zh-CN" w:bidi="ar-SA"/>
        </w:rPr>
        <w:t>人员应具备的健康</w:t>
      </w:r>
      <w:r>
        <w:rPr>
          <w:rFonts w:hint="eastAsia" w:ascii="Times New Roman" w:hAnsi="Times New Roman" w:cs="Times New Roman"/>
          <w:b w:val="0"/>
          <w:spacing w:val="0"/>
          <w:kern w:val="2"/>
          <w:sz w:val="32"/>
          <w:szCs w:val="32"/>
          <w:lang w:val="en-US" w:eastAsia="zh-CN" w:bidi="ar-SA"/>
        </w:rPr>
        <w:t>状况</w:t>
      </w:r>
      <w:r>
        <w:rPr>
          <w:rFonts w:hint="default" w:ascii="Times New Roman" w:hAnsi="Times New Roman" w:eastAsia="仿宋_GB2312" w:cs="Times New Roman"/>
          <w:b w:val="0"/>
          <w:spacing w:val="0"/>
          <w:kern w:val="2"/>
          <w:sz w:val="32"/>
          <w:szCs w:val="32"/>
          <w:lang w:val="en-US" w:eastAsia="zh-CN" w:bidi="ar-SA"/>
        </w:rPr>
        <w:t>和食品安全基本知识等要求，使</w:t>
      </w:r>
      <w:r>
        <w:rPr>
          <w:rFonts w:hint="eastAsia" w:ascii="Times New Roman" w:hAnsi="Times New Roman" w:cs="Times New Roman"/>
          <w:b w:val="0"/>
          <w:spacing w:val="0"/>
          <w:kern w:val="2"/>
          <w:sz w:val="32"/>
          <w:szCs w:val="32"/>
          <w:lang w:val="en-US" w:eastAsia="zh-CN" w:bidi="ar-SA"/>
        </w:rPr>
        <w:t>发货方、承运方、收货方在实施</w:t>
      </w:r>
      <w:r>
        <w:rPr>
          <w:rFonts w:hint="default" w:ascii="Times New Roman" w:hAnsi="Times New Roman" w:eastAsia="仿宋_GB2312" w:cs="Times New Roman"/>
          <w:b w:val="0"/>
          <w:spacing w:val="0"/>
          <w:kern w:val="2"/>
          <w:sz w:val="32"/>
          <w:szCs w:val="32"/>
          <w:lang w:val="en-US" w:eastAsia="zh-CN" w:bidi="ar-SA"/>
        </w:rPr>
        <w:t>运输前就具备相应保障食品安全的车辆、人员、管理等能力</w:t>
      </w:r>
      <w:r>
        <w:rPr>
          <w:rFonts w:hint="eastAsia" w:ascii="Times New Roman" w:hAnsi="Times New Roman" w:cs="Times New Roman"/>
          <w:b w:val="0"/>
          <w:spacing w:val="0"/>
          <w:kern w:val="2"/>
          <w:sz w:val="32"/>
          <w:szCs w:val="32"/>
          <w:lang w:val="en-US" w:eastAsia="zh-CN" w:bidi="ar-SA"/>
        </w:rPr>
        <w:t>条件</w:t>
      </w:r>
      <w:r>
        <w:rPr>
          <w:rFonts w:hint="default" w:ascii="Times New Roman" w:hAnsi="Times New Roman" w:eastAsia="仿宋_GB2312" w:cs="Times New Roman"/>
          <w:b w:val="0"/>
          <w:spacing w:val="0"/>
          <w:kern w:val="2"/>
          <w:sz w:val="32"/>
          <w:szCs w:val="32"/>
          <w:lang w:val="en-US" w:eastAsia="zh-CN" w:bidi="ar-SA"/>
        </w:rPr>
        <w:t>，</w:t>
      </w:r>
      <w:r>
        <w:rPr>
          <w:rFonts w:hint="eastAsia" w:cs="Times New Roman"/>
          <w:b w:val="0"/>
          <w:spacing w:val="0"/>
          <w:kern w:val="2"/>
          <w:sz w:val="32"/>
          <w:szCs w:val="32"/>
          <w:lang w:val="en-US" w:eastAsia="zh-CN" w:bidi="ar-SA"/>
        </w:rPr>
        <w:t>进一步加强食品运输全链条管理，保障运输食品安全。</w:t>
      </w:r>
    </w:p>
    <w:p w14:paraId="403A1F92">
      <w:pPr>
        <w:keepNext w:val="0"/>
        <w:keepLines w:val="0"/>
        <w:pageBreakBefore w:val="0"/>
        <w:widowControl w:val="0"/>
        <w:numPr>
          <w:ilvl w:val="0"/>
          <w:numId w:val="2"/>
        </w:numPr>
        <w:kinsoku/>
        <w:wordWrap/>
        <w:overflowPunct/>
        <w:topLinePunct w:val="0"/>
        <w:autoSpaceDE w:val="0"/>
        <w:autoSpaceDN w:val="0"/>
        <w:bidi w:val="0"/>
        <w:adjustRightInd/>
        <w:snapToGrid w:val="0"/>
        <w:spacing w:line="594" w:lineRule="exact"/>
        <w:ind w:left="0" w:leftChars="0" w:firstLine="632" w:firstLineChars="200"/>
        <w:jc w:val="both"/>
        <w:textAlignment w:val="auto"/>
        <w:outlineLvl w:val="9"/>
        <w:rPr>
          <w:rFonts w:hint="eastAsia" w:eastAsia="黑体" w:cs="Times New Roman"/>
          <w:color w:val="000000"/>
          <w:sz w:val="32"/>
          <w:szCs w:val="32"/>
          <w:lang w:eastAsia="zh-CN"/>
        </w:rPr>
      </w:pPr>
      <w:r>
        <w:rPr>
          <w:rFonts w:hint="eastAsia" w:eastAsia="黑体" w:cs="Times New Roman"/>
          <w:color w:val="000000"/>
          <w:sz w:val="32"/>
          <w:szCs w:val="32"/>
          <w:lang w:eastAsia="zh-CN"/>
        </w:rPr>
        <w:t>起草过程</w:t>
      </w:r>
    </w:p>
    <w:p w14:paraId="41F6BB61">
      <w:pPr>
        <w:keepNext w:val="0"/>
        <w:keepLines w:val="0"/>
        <w:pageBreakBefore w:val="0"/>
        <w:widowControl/>
        <w:tabs>
          <w:tab w:val="left" w:pos="560"/>
        </w:tabs>
        <w:kinsoku/>
        <w:wordWrap/>
        <w:overflowPunct/>
        <w:topLinePunct w:val="0"/>
        <w:autoSpaceDE/>
        <w:autoSpaceDN/>
        <w:bidi w:val="0"/>
        <w:adjustRightInd/>
        <w:snapToGrid/>
        <w:spacing w:line="594" w:lineRule="exact"/>
        <w:ind w:leftChars="0" w:firstLine="632" w:firstLineChars="200"/>
        <w:contextualSpacing/>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楷体" w:hAnsi="楷体" w:eastAsia="楷体" w:cs="楷体"/>
          <w:color w:val="000000"/>
          <w:kern w:val="0"/>
          <w:sz w:val="32"/>
          <w:szCs w:val="32"/>
          <w:lang w:val="en-US" w:eastAsia="zh-CN"/>
        </w:rPr>
        <w:t>一是加强法规政策研究。</w:t>
      </w:r>
      <w:r>
        <w:rPr>
          <w:rFonts w:hint="eastAsia" w:cs="Times New Roman"/>
          <w:color w:val="000000"/>
          <w:kern w:val="0"/>
          <w:sz w:val="32"/>
          <w:szCs w:val="32"/>
          <w:lang w:val="en-US" w:eastAsia="zh-CN"/>
        </w:rPr>
        <w:t>市场监管总局相关</w:t>
      </w:r>
      <w:r>
        <w:rPr>
          <w:rFonts w:hint="default" w:ascii="Times New Roman" w:hAnsi="Times New Roman" w:eastAsia="仿宋_GB2312" w:cs="Times New Roman"/>
          <w:color w:val="000000"/>
          <w:kern w:val="0"/>
          <w:sz w:val="32"/>
          <w:szCs w:val="32"/>
          <w:lang w:val="en-US" w:eastAsia="zh-CN"/>
        </w:rPr>
        <w:t>司局、地方监管</w:t>
      </w:r>
      <w:r>
        <w:rPr>
          <w:rFonts w:hint="eastAsia" w:cs="Times New Roman"/>
          <w:color w:val="000000"/>
          <w:kern w:val="0"/>
          <w:sz w:val="32"/>
          <w:szCs w:val="32"/>
          <w:lang w:val="en-US" w:eastAsia="zh-CN"/>
        </w:rPr>
        <w:t>部门</w:t>
      </w:r>
      <w:r>
        <w:rPr>
          <w:rFonts w:hint="default" w:ascii="Times New Roman" w:hAnsi="Times New Roman" w:eastAsia="仿宋_GB2312" w:cs="Times New Roman"/>
          <w:color w:val="000000"/>
          <w:kern w:val="0"/>
          <w:sz w:val="32"/>
          <w:szCs w:val="32"/>
          <w:lang w:val="en-US" w:eastAsia="zh-CN"/>
        </w:rPr>
        <w:t>、</w:t>
      </w:r>
      <w:r>
        <w:rPr>
          <w:rFonts w:hint="eastAsia" w:cs="Times New Roman"/>
          <w:color w:val="000000"/>
          <w:kern w:val="0"/>
          <w:sz w:val="32"/>
          <w:szCs w:val="32"/>
          <w:lang w:val="en-US" w:eastAsia="zh-CN"/>
        </w:rPr>
        <w:t>科研院所</w:t>
      </w:r>
      <w:r>
        <w:rPr>
          <w:rFonts w:hint="default" w:ascii="Times New Roman" w:hAnsi="Times New Roman" w:eastAsia="仿宋_GB2312" w:cs="Times New Roman"/>
          <w:color w:val="000000"/>
          <w:kern w:val="0"/>
          <w:sz w:val="32"/>
          <w:szCs w:val="32"/>
          <w:lang w:val="en-US" w:eastAsia="zh-CN"/>
        </w:rPr>
        <w:t>、行业协会联合</w:t>
      </w:r>
      <w:r>
        <w:rPr>
          <w:rFonts w:hint="eastAsia" w:cs="Times New Roman"/>
          <w:color w:val="000000"/>
          <w:kern w:val="0"/>
          <w:sz w:val="32"/>
          <w:szCs w:val="32"/>
          <w:lang w:val="en-US" w:eastAsia="zh-CN"/>
        </w:rPr>
        <w:t>组建</w:t>
      </w:r>
      <w:r>
        <w:rPr>
          <w:rFonts w:hint="default" w:ascii="Times New Roman" w:hAnsi="Times New Roman" w:eastAsia="仿宋_GB2312" w:cs="Times New Roman"/>
          <w:color w:val="000000"/>
          <w:kern w:val="0"/>
          <w:sz w:val="32"/>
          <w:szCs w:val="32"/>
          <w:lang w:val="en-US" w:eastAsia="zh-CN"/>
        </w:rPr>
        <w:t>工作专班，</w:t>
      </w:r>
      <w:r>
        <w:rPr>
          <w:rFonts w:hint="eastAsia" w:cs="Times New Roman"/>
          <w:color w:val="000000"/>
          <w:kern w:val="0"/>
          <w:sz w:val="32"/>
          <w:szCs w:val="32"/>
          <w:lang w:val="en-US" w:eastAsia="zh-CN"/>
        </w:rPr>
        <w:t>组织</w:t>
      </w:r>
      <w:r>
        <w:rPr>
          <w:rFonts w:hint="default" w:ascii="Times New Roman" w:hAnsi="Times New Roman" w:eastAsia="仿宋_GB2312" w:cs="Times New Roman"/>
          <w:color w:val="000000"/>
          <w:kern w:val="0"/>
          <w:sz w:val="32"/>
          <w:szCs w:val="32"/>
          <w:lang w:val="en-US" w:eastAsia="zh-CN"/>
        </w:rPr>
        <w:t>食品</w:t>
      </w:r>
      <w:r>
        <w:rPr>
          <w:rFonts w:hint="eastAsia" w:cs="Times New Roman"/>
          <w:color w:val="000000"/>
          <w:kern w:val="0"/>
          <w:sz w:val="32"/>
          <w:szCs w:val="32"/>
          <w:lang w:val="en-US" w:eastAsia="zh-CN"/>
        </w:rPr>
        <w:t>生产经营</w:t>
      </w:r>
      <w:r>
        <w:rPr>
          <w:rFonts w:hint="default" w:ascii="Times New Roman" w:hAnsi="Times New Roman" w:eastAsia="仿宋_GB2312" w:cs="Times New Roman"/>
          <w:color w:val="000000"/>
          <w:kern w:val="0"/>
          <w:sz w:val="32"/>
          <w:szCs w:val="32"/>
          <w:lang w:val="en-US" w:eastAsia="zh-CN"/>
        </w:rPr>
        <w:t>、仓储</w:t>
      </w:r>
      <w:r>
        <w:rPr>
          <w:rFonts w:hint="eastAsia" w:cs="Times New Roman"/>
          <w:color w:val="000000"/>
          <w:kern w:val="0"/>
          <w:sz w:val="32"/>
          <w:szCs w:val="32"/>
          <w:lang w:val="en-US" w:eastAsia="zh-CN"/>
        </w:rPr>
        <w:t>运输</w:t>
      </w:r>
      <w:r>
        <w:rPr>
          <w:rFonts w:hint="default" w:ascii="Times New Roman" w:hAnsi="Times New Roman" w:eastAsia="仿宋_GB2312" w:cs="Times New Roman"/>
          <w:color w:val="000000"/>
          <w:kern w:val="0"/>
          <w:sz w:val="32"/>
          <w:szCs w:val="32"/>
          <w:lang w:val="en-US" w:eastAsia="zh-CN"/>
        </w:rPr>
        <w:t>、</w:t>
      </w:r>
      <w:r>
        <w:rPr>
          <w:rFonts w:hint="eastAsia" w:cs="Times New Roman"/>
          <w:color w:val="000000"/>
          <w:kern w:val="0"/>
          <w:sz w:val="32"/>
          <w:szCs w:val="32"/>
          <w:lang w:val="en-US" w:eastAsia="zh-CN"/>
        </w:rPr>
        <w:t>寄递配送</w:t>
      </w:r>
      <w:r>
        <w:rPr>
          <w:rFonts w:hint="default" w:ascii="Times New Roman" w:hAnsi="Times New Roman" w:eastAsia="仿宋_GB2312" w:cs="Times New Roman"/>
          <w:color w:val="000000"/>
          <w:kern w:val="0"/>
          <w:sz w:val="32"/>
          <w:szCs w:val="32"/>
          <w:lang w:val="en-US" w:eastAsia="zh-CN"/>
        </w:rPr>
        <w:t>等相关</w:t>
      </w:r>
      <w:r>
        <w:rPr>
          <w:rFonts w:hint="eastAsia" w:cs="Times New Roman"/>
          <w:color w:val="000000"/>
          <w:kern w:val="0"/>
          <w:sz w:val="32"/>
          <w:szCs w:val="32"/>
          <w:lang w:val="en-US" w:eastAsia="zh-CN"/>
        </w:rPr>
        <w:t>领域</w:t>
      </w:r>
      <w:r>
        <w:rPr>
          <w:rFonts w:hint="default" w:ascii="Times New Roman" w:hAnsi="Times New Roman" w:eastAsia="仿宋_GB2312" w:cs="Times New Roman"/>
          <w:color w:val="000000"/>
          <w:kern w:val="0"/>
          <w:sz w:val="32"/>
          <w:szCs w:val="32"/>
          <w:lang w:val="en-US" w:eastAsia="zh-CN"/>
        </w:rPr>
        <w:t>专业</w:t>
      </w:r>
      <w:r>
        <w:rPr>
          <w:rFonts w:hint="eastAsia" w:cs="Times New Roman"/>
          <w:color w:val="000000"/>
          <w:kern w:val="0"/>
          <w:sz w:val="32"/>
          <w:szCs w:val="32"/>
          <w:lang w:val="en-US" w:eastAsia="zh-CN"/>
        </w:rPr>
        <w:t>人员，先后赴多地开展调研，</w:t>
      </w:r>
      <w:r>
        <w:rPr>
          <w:rFonts w:hint="default" w:ascii="Times New Roman" w:hAnsi="Times New Roman" w:eastAsia="仿宋_GB2312" w:cs="Times New Roman"/>
          <w:color w:val="000000"/>
          <w:kern w:val="0"/>
          <w:sz w:val="32"/>
          <w:szCs w:val="32"/>
          <w:lang w:val="en-US" w:eastAsia="zh-CN"/>
        </w:rPr>
        <w:t>全面了解食品运输现状及存在问题。</w:t>
      </w:r>
      <w:r>
        <w:rPr>
          <w:rFonts w:hint="eastAsia" w:ascii="Times New Roman" w:hAnsi="Times New Roman" w:eastAsia="仿宋_GB2312" w:cs="Times New Roman"/>
          <w:color w:val="000000"/>
          <w:kern w:val="0"/>
          <w:sz w:val="32"/>
          <w:szCs w:val="32"/>
          <w:lang w:val="en-US" w:eastAsia="zh-CN"/>
        </w:rPr>
        <w:t>全面</w:t>
      </w:r>
      <w:r>
        <w:rPr>
          <w:rFonts w:hint="eastAsia" w:cs="Times New Roman"/>
          <w:color w:val="000000"/>
          <w:kern w:val="0"/>
          <w:sz w:val="32"/>
          <w:szCs w:val="32"/>
          <w:lang w:val="en-US" w:eastAsia="zh-CN"/>
        </w:rPr>
        <w:t>梳理</w:t>
      </w:r>
      <w:r>
        <w:rPr>
          <w:rFonts w:hint="eastAsia" w:ascii="Times New Roman" w:hAnsi="Times New Roman" w:eastAsia="仿宋_GB2312" w:cs="Times New Roman"/>
          <w:color w:val="000000"/>
          <w:kern w:val="0"/>
          <w:sz w:val="32"/>
          <w:szCs w:val="32"/>
          <w:lang w:val="en-US" w:eastAsia="zh-CN"/>
        </w:rPr>
        <w:t>汇总</w:t>
      </w:r>
      <w:r>
        <w:rPr>
          <w:rFonts w:hint="eastAsia" w:eastAsia="仿宋_GB2312" w:cs="Times New Roman"/>
          <w:color w:val="000000"/>
          <w:kern w:val="0"/>
          <w:sz w:val="32"/>
          <w:szCs w:val="32"/>
          <w:lang w:val="en-US" w:eastAsia="zh-CN"/>
        </w:rPr>
        <w:t>国内</w:t>
      </w:r>
      <w:r>
        <w:rPr>
          <w:rFonts w:hint="default" w:ascii="Times New Roman" w:hAnsi="Times New Roman" w:eastAsia="仿宋_GB2312" w:cs="Times New Roman"/>
          <w:color w:val="000000"/>
          <w:kern w:val="0"/>
          <w:sz w:val="32"/>
          <w:szCs w:val="32"/>
          <w:lang w:val="en-US" w:eastAsia="zh-CN"/>
        </w:rPr>
        <w:t>涉及食品运输相关法律法规、部门规章、相关标准</w:t>
      </w:r>
      <w:r>
        <w:rPr>
          <w:rFonts w:hint="eastAsia" w:cs="Times New Roman"/>
          <w:color w:val="000000"/>
          <w:kern w:val="0"/>
          <w:sz w:val="32"/>
          <w:szCs w:val="32"/>
          <w:lang w:val="en-US" w:eastAsia="zh-CN"/>
        </w:rPr>
        <w:t>，以及</w:t>
      </w:r>
      <w:r>
        <w:rPr>
          <w:rFonts w:hint="default" w:ascii="Times New Roman" w:hAnsi="Times New Roman" w:eastAsia="仿宋_GB2312" w:cs="Times New Roman"/>
          <w:color w:val="000000"/>
          <w:kern w:val="0"/>
          <w:sz w:val="32"/>
          <w:szCs w:val="32"/>
          <w:lang w:val="en-US" w:eastAsia="zh-CN"/>
        </w:rPr>
        <w:t>国外行业现状</w:t>
      </w:r>
      <w:r>
        <w:rPr>
          <w:rFonts w:hint="eastAsia" w:cs="Times New Roman"/>
          <w:color w:val="000000"/>
          <w:kern w:val="0"/>
          <w:sz w:val="32"/>
          <w:szCs w:val="32"/>
          <w:lang w:val="en-US" w:eastAsia="zh-CN"/>
        </w:rPr>
        <w:t>、法律法规</w:t>
      </w:r>
      <w:r>
        <w:rPr>
          <w:rFonts w:hint="default" w:ascii="Times New Roman" w:hAnsi="Times New Roman" w:eastAsia="仿宋_GB2312" w:cs="Times New Roman"/>
          <w:color w:val="000000"/>
          <w:kern w:val="0"/>
          <w:sz w:val="32"/>
          <w:szCs w:val="32"/>
          <w:lang w:val="en-US" w:eastAsia="zh-CN"/>
        </w:rPr>
        <w:t>和监管要求</w:t>
      </w:r>
      <w:r>
        <w:rPr>
          <w:rFonts w:hint="eastAsia"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为</w:t>
      </w:r>
      <w:r>
        <w:rPr>
          <w:rFonts w:hint="eastAsia" w:ascii="Times New Roman" w:hAnsi="Times New Roman" w:eastAsia="仿宋_GB2312" w:cs="Times New Roman"/>
          <w:color w:val="000000"/>
          <w:kern w:val="0"/>
          <w:sz w:val="32"/>
          <w:szCs w:val="32"/>
          <w:lang w:val="en-US" w:eastAsia="zh-CN"/>
        </w:rPr>
        <w:t>科学</w:t>
      </w:r>
      <w:r>
        <w:rPr>
          <w:rFonts w:hint="default" w:ascii="Times New Roman" w:hAnsi="Times New Roman" w:eastAsia="仿宋_GB2312" w:cs="Times New Roman"/>
          <w:color w:val="000000"/>
          <w:kern w:val="0"/>
          <w:sz w:val="32"/>
          <w:szCs w:val="32"/>
          <w:lang w:val="en-US" w:eastAsia="zh-CN"/>
        </w:rPr>
        <w:t>论证提供</w:t>
      </w:r>
      <w:r>
        <w:rPr>
          <w:rFonts w:hint="eastAsia" w:cs="Times New Roman"/>
          <w:color w:val="000000"/>
          <w:kern w:val="0"/>
          <w:sz w:val="32"/>
          <w:szCs w:val="32"/>
          <w:lang w:val="en-US" w:eastAsia="zh-CN"/>
        </w:rPr>
        <w:t>政策参考和实践依据</w:t>
      </w:r>
      <w:r>
        <w:rPr>
          <w:rFonts w:hint="eastAsia" w:ascii="Times New Roman" w:hAnsi="Times New Roman" w:eastAsia="仿宋_GB2312" w:cs="Times New Roman"/>
          <w:color w:val="000000"/>
          <w:kern w:val="0"/>
          <w:sz w:val="32"/>
          <w:szCs w:val="32"/>
          <w:lang w:val="en-US" w:eastAsia="zh-CN"/>
        </w:rPr>
        <w:t>。</w:t>
      </w:r>
    </w:p>
    <w:p w14:paraId="1CBDE8B7">
      <w:pPr>
        <w:keepNext w:val="0"/>
        <w:keepLines w:val="0"/>
        <w:pageBreakBefore w:val="0"/>
        <w:widowControl/>
        <w:tabs>
          <w:tab w:val="left" w:pos="560"/>
        </w:tabs>
        <w:kinsoku/>
        <w:wordWrap/>
        <w:overflowPunct/>
        <w:topLinePunct w:val="0"/>
        <w:autoSpaceDE/>
        <w:autoSpaceDN/>
        <w:bidi w:val="0"/>
        <w:adjustRightInd/>
        <w:snapToGrid/>
        <w:spacing w:line="594" w:lineRule="exact"/>
        <w:ind w:leftChars="0" w:firstLine="632" w:firstLineChars="200"/>
        <w:contextualSpacing/>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楷体" w:hAnsi="楷体" w:eastAsia="楷体" w:cs="楷体"/>
          <w:color w:val="000000"/>
          <w:kern w:val="0"/>
          <w:sz w:val="32"/>
          <w:szCs w:val="32"/>
          <w:lang w:val="en-US" w:eastAsia="zh-CN"/>
        </w:rPr>
        <w:t>二是开展问卷调查研究。</w:t>
      </w:r>
      <w:r>
        <w:rPr>
          <w:rFonts w:hint="eastAsia" w:cs="Times New Roman"/>
          <w:color w:val="000000"/>
          <w:kern w:val="0"/>
          <w:sz w:val="32"/>
          <w:szCs w:val="32"/>
          <w:lang w:val="en-US" w:eastAsia="zh-CN"/>
        </w:rPr>
        <w:t>面向食品生产经营主体、行业协会、监管部门共计开展三轮</w:t>
      </w:r>
      <w:r>
        <w:rPr>
          <w:rFonts w:hint="default" w:ascii="Times New Roman" w:hAnsi="Times New Roman" w:eastAsia="仿宋_GB2312" w:cs="Times New Roman"/>
          <w:color w:val="000000"/>
          <w:kern w:val="0"/>
          <w:sz w:val="32"/>
          <w:szCs w:val="32"/>
          <w:lang w:val="en-US" w:eastAsia="zh-CN"/>
        </w:rPr>
        <w:t>问卷调研，第一</w:t>
      </w:r>
      <w:r>
        <w:rPr>
          <w:rFonts w:hint="eastAsia" w:cs="Times New Roman"/>
          <w:color w:val="000000"/>
          <w:kern w:val="0"/>
          <w:sz w:val="32"/>
          <w:szCs w:val="32"/>
          <w:lang w:val="en-US" w:eastAsia="zh-CN"/>
        </w:rPr>
        <w:t>轮重点</w:t>
      </w:r>
      <w:r>
        <w:rPr>
          <w:rFonts w:hint="default" w:ascii="Times New Roman" w:hAnsi="Times New Roman" w:eastAsia="仿宋_GB2312" w:cs="Times New Roman"/>
          <w:color w:val="000000"/>
          <w:kern w:val="0"/>
          <w:sz w:val="32"/>
          <w:szCs w:val="32"/>
          <w:lang w:val="en-US" w:eastAsia="zh-CN"/>
        </w:rPr>
        <w:t>调研</w:t>
      </w:r>
      <w:r>
        <w:rPr>
          <w:rFonts w:hint="eastAsia" w:cs="Times New Roman"/>
          <w:color w:val="000000"/>
          <w:kern w:val="0"/>
          <w:sz w:val="32"/>
          <w:szCs w:val="32"/>
          <w:lang w:val="en-US" w:eastAsia="zh-CN"/>
        </w:rPr>
        <w:t>了解</w:t>
      </w:r>
      <w:r>
        <w:rPr>
          <w:rFonts w:hint="default" w:ascii="Times New Roman" w:hAnsi="Times New Roman" w:eastAsia="仿宋_GB2312" w:cs="Times New Roman"/>
          <w:color w:val="000000"/>
          <w:kern w:val="0"/>
          <w:sz w:val="32"/>
          <w:szCs w:val="32"/>
          <w:lang w:val="en-US" w:eastAsia="zh-CN"/>
        </w:rPr>
        <w:t>食品运输</w:t>
      </w:r>
      <w:r>
        <w:rPr>
          <w:rFonts w:hint="eastAsia" w:cs="Times New Roman"/>
          <w:color w:val="000000"/>
          <w:kern w:val="0"/>
          <w:sz w:val="32"/>
          <w:szCs w:val="32"/>
          <w:lang w:val="en-US" w:eastAsia="zh-CN"/>
        </w:rPr>
        <w:t>涉及</w:t>
      </w:r>
      <w:r>
        <w:rPr>
          <w:rFonts w:hint="default" w:ascii="Times New Roman" w:hAnsi="Times New Roman" w:eastAsia="仿宋_GB2312" w:cs="Times New Roman"/>
          <w:color w:val="000000"/>
          <w:kern w:val="0"/>
          <w:sz w:val="32"/>
          <w:szCs w:val="32"/>
          <w:lang w:val="en-US" w:eastAsia="zh-CN"/>
        </w:rPr>
        <w:t>食品类别、管理方式、制度建设、</w:t>
      </w:r>
      <w:r>
        <w:rPr>
          <w:rFonts w:hint="eastAsia" w:cs="Times New Roman"/>
          <w:color w:val="000000"/>
          <w:kern w:val="0"/>
          <w:sz w:val="32"/>
          <w:szCs w:val="32"/>
          <w:lang w:val="en-US" w:eastAsia="zh-CN"/>
        </w:rPr>
        <w:t>监督管理</w:t>
      </w:r>
      <w:r>
        <w:rPr>
          <w:rFonts w:hint="default" w:ascii="Times New Roman" w:hAnsi="Times New Roman" w:eastAsia="仿宋_GB2312" w:cs="Times New Roman"/>
          <w:color w:val="000000"/>
          <w:kern w:val="0"/>
          <w:sz w:val="32"/>
          <w:szCs w:val="32"/>
          <w:lang w:val="en-US" w:eastAsia="zh-CN"/>
        </w:rPr>
        <w:t>等</w:t>
      </w:r>
      <w:r>
        <w:rPr>
          <w:rFonts w:hint="eastAsia" w:cs="Times New Roman"/>
          <w:color w:val="000000"/>
          <w:kern w:val="0"/>
          <w:sz w:val="32"/>
          <w:szCs w:val="32"/>
          <w:lang w:val="en-US" w:eastAsia="zh-CN"/>
        </w:rPr>
        <w:t>情况；</w:t>
      </w:r>
      <w:r>
        <w:rPr>
          <w:rFonts w:hint="default" w:ascii="Times New Roman" w:hAnsi="Times New Roman" w:eastAsia="仿宋_GB2312" w:cs="Times New Roman"/>
          <w:color w:val="000000"/>
          <w:kern w:val="0"/>
          <w:sz w:val="32"/>
          <w:szCs w:val="32"/>
          <w:lang w:val="en-US" w:eastAsia="zh-CN"/>
        </w:rPr>
        <w:t>第二轮</w:t>
      </w:r>
      <w:r>
        <w:rPr>
          <w:rFonts w:hint="eastAsia" w:cs="Times New Roman"/>
          <w:color w:val="000000"/>
          <w:kern w:val="0"/>
          <w:sz w:val="32"/>
          <w:szCs w:val="32"/>
          <w:lang w:val="en-US" w:eastAsia="zh-CN"/>
        </w:rPr>
        <w:t>重点调研收集液态类食品范围、食品安全风险程度、实施许可必要性可行性等意见建议；</w:t>
      </w:r>
      <w:r>
        <w:rPr>
          <w:rFonts w:hint="default" w:ascii="Times New Roman" w:hAnsi="Times New Roman" w:eastAsia="仿宋_GB2312" w:cs="Times New Roman"/>
          <w:color w:val="000000"/>
          <w:kern w:val="0"/>
          <w:sz w:val="32"/>
          <w:szCs w:val="32"/>
          <w:lang w:val="en-US" w:eastAsia="zh-CN"/>
        </w:rPr>
        <w:t>第三轮</w:t>
      </w:r>
      <w:r>
        <w:rPr>
          <w:rFonts w:hint="eastAsia" w:cs="Times New Roman"/>
          <w:color w:val="000000"/>
          <w:kern w:val="0"/>
          <w:sz w:val="32"/>
          <w:szCs w:val="32"/>
          <w:lang w:val="en-US" w:eastAsia="zh-CN"/>
        </w:rPr>
        <w:t>重点调研掌握</w:t>
      </w:r>
      <w:r>
        <w:rPr>
          <w:rFonts w:hint="default" w:ascii="Times New Roman" w:hAnsi="Times New Roman" w:eastAsia="仿宋_GB2312" w:cs="Times New Roman"/>
          <w:color w:val="000000"/>
          <w:kern w:val="0"/>
          <w:sz w:val="32"/>
          <w:szCs w:val="32"/>
          <w:lang w:val="en-US" w:eastAsia="zh-CN"/>
        </w:rPr>
        <w:t>液态类食品散装运输</w:t>
      </w:r>
      <w:r>
        <w:rPr>
          <w:rFonts w:hint="eastAsia" w:cs="Times New Roman"/>
          <w:color w:val="000000"/>
          <w:kern w:val="0"/>
          <w:sz w:val="32"/>
          <w:szCs w:val="32"/>
          <w:lang w:val="en-US" w:eastAsia="zh-CN"/>
        </w:rPr>
        <w:t>涉及罐车规模、影响范围等情况。三轮调研</w:t>
      </w:r>
      <w:r>
        <w:rPr>
          <w:rFonts w:hint="default" w:ascii="Times New Roman" w:hAnsi="Times New Roman" w:eastAsia="仿宋_GB2312" w:cs="Times New Roman"/>
          <w:color w:val="000000"/>
          <w:kern w:val="0"/>
          <w:sz w:val="32"/>
          <w:szCs w:val="32"/>
          <w:lang w:val="en-US" w:eastAsia="zh-CN"/>
        </w:rPr>
        <w:t>共计收回</w:t>
      </w:r>
      <w:r>
        <w:rPr>
          <w:rFonts w:hint="eastAsia" w:cs="Times New Roman"/>
          <w:color w:val="000000"/>
          <w:kern w:val="0"/>
          <w:sz w:val="32"/>
          <w:szCs w:val="32"/>
          <w:lang w:val="en-US" w:eastAsia="zh-CN"/>
        </w:rPr>
        <w:t>有效</w:t>
      </w:r>
      <w:r>
        <w:rPr>
          <w:rFonts w:hint="default" w:ascii="Times New Roman" w:hAnsi="Times New Roman" w:eastAsia="仿宋_GB2312" w:cs="Times New Roman"/>
          <w:color w:val="000000"/>
          <w:kern w:val="0"/>
          <w:sz w:val="32"/>
          <w:szCs w:val="32"/>
          <w:lang w:val="en-US" w:eastAsia="zh-CN"/>
        </w:rPr>
        <w:t>问卷22</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79</w:t>
      </w:r>
      <w:r>
        <w:rPr>
          <w:rFonts w:hint="eastAsia" w:eastAsia="仿宋_GB2312" w:cs="Times New Roman"/>
          <w:color w:val="000000"/>
          <w:kern w:val="0"/>
          <w:sz w:val="32"/>
          <w:szCs w:val="32"/>
          <w:lang w:val="en-US" w:eastAsia="zh-CN"/>
        </w:rPr>
        <w:t>万</w:t>
      </w:r>
      <w:r>
        <w:rPr>
          <w:rFonts w:hint="default" w:ascii="Times New Roman" w:hAnsi="Times New Roman" w:eastAsia="仿宋_GB2312" w:cs="Times New Roman"/>
          <w:color w:val="000000"/>
          <w:kern w:val="0"/>
          <w:sz w:val="32"/>
          <w:szCs w:val="32"/>
          <w:lang w:val="en-US" w:eastAsia="zh-CN"/>
        </w:rPr>
        <w:t>份</w:t>
      </w:r>
      <w:r>
        <w:rPr>
          <w:rFonts w:hint="eastAsia" w:ascii="Times New Roman" w:hAnsi="Times New Roman" w:eastAsia="仿宋_GB2312" w:cs="Times New Roman"/>
          <w:color w:val="000000"/>
          <w:kern w:val="0"/>
          <w:sz w:val="32"/>
          <w:szCs w:val="32"/>
          <w:lang w:val="en-US" w:eastAsia="zh-CN"/>
        </w:rPr>
        <w:t>。</w:t>
      </w:r>
    </w:p>
    <w:p w14:paraId="72F709B5">
      <w:pPr>
        <w:keepNext w:val="0"/>
        <w:keepLines w:val="0"/>
        <w:pageBreakBefore w:val="0"/>
        <w:widowControl/>
        <w:tabs>
          <w:tab w:val="left" w:pos="560"/>
        </w:tabs>
        <w:kinsoku/>
        <w:wordWrap/>
        <w:overflowPunct/>
        <w:topLinePunct w:val="0"/>
        <w:autoSpaceDE/>
        <w:autoSpaceDN/>
        <w:bidi w:val="0"/>
        <w:adjustRightInd/>
        <w:snapToGrid/>
        <w:spacing w:line="594" w:lineRule="exact"/>
        <w:ind w:leftChars="0" w:firstLine="632" w:firstLineChars="200"/>
        <w:contextualSpacing/>
        <w:jc w:val="both"/>
        <w:textAlignment w:val="auto"/>
      </w:pPr>
      <w:r>
        <w:rPr>
          <w:rFonts w:hint="eastAsia" w:ascii="楷体" w:hAnsi="楷体" w:eastAsia="楷体" w:cs="楷体"/>
          <w:color w:val="000000"/>
          <w:kern w:val="0"/>
          <w:sz w:val="32"/>
          <w:szCs w:val="32"/>
          <w:lang w:val="en-US" w:eastAsia="zh-CN"/>
        </w:rPr>
        <w:t>三是广泛征求社会各界意见。</w:t>
      </w:r>
      <w:r>
        <w:rPr>
          <w:rFonts w:hint="eastAsia" w:cs="Times New Roman"/>
          <w:color w:val="000000"/>
          <w:kern w:val="0"/>
          <w:sz w:val="32"/>
          <w:szCs w:val="32"/>
          <w:lang w:val="en-US" w:eastAsia="zh-CN"/>
        </w:rPr>
        <w:t>召开</w:t>
      </w:r>
      <w:r>
        <w:rPr>
          <w:rFonts w:hint="default" w:ascii="Times New Roman" w:hAnsi="Times New Roman" w:eastAsia="仿宋_GB2312" w:cs="Times New Roman"/>
          <w:color w:val="000000"/>
          <w:kern w:val="0"/>
          <w:sz w:val="32"/>
          <w:szCs w:val="32"/>
          <w:lang w:val="en-US" w:eastAsia="zh-CN"/>
        </w:rPr>
        <w:t>专题座谈和研讨会</w:t>
      </w:r>
      <w:r>
        <w:rPr>
          <w:rFonts w:hint="eastAsia"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lang w:val="en-US" w:eastAsia="zh-CN"/>
        </w:rPr>
        <w:t>余次</w:t>
      </w:r>
      <w:r>
        <w:rPr>
          <w:rFonts w:hint="eastAsia" w:ascii="Times New Roman" w:hAnsi="Times New Roman" w:eastAsia="仿宋_GB2312" w:cs="Times New Roman"/>
          <w:color w:val="000000"/>
          <w:kern w:val="0"/>
          <w:sz w:val="32"/>
          <w:szCs w:val="32"/>
          <w:lang w:val="en-US" w:eastAsia="zh-CN"/>
        </w:rPr>
        <w:t>，广泛</w:t>
      </w:r>
      <w:r>
        <w:rPr>
          <w:rFonts w:hint="default" w:ascii="Times New Roman" w:hAnsi="Times New Roman" w:eastAsia="仿宋_GB2312" w:cs="Times New Roman"/>
          <w:color w:val="000000"/>
          <w:kern w:val="0"/>
          <w:sz w:val="32"/>
          <w:szCs w:val="32"/>
          <w:lang w:val="en-US" w:eastAsia="zh-CN"/>
        </w:rPr>
        <w:t>征求地方市场监管部门、行业协会、相关企业、相关专家意见建议，</w:t>
      </w:r>
      <w:r>
        <w:rPr>
          <w:rFonts w:hint="eastAsia" w:cs="Times New Roman"/>
          <w:color w:val="000000"/>
          <w:sz w:val="32"/>
          <w:szCs w:val="32"/>
          <w:lang w:val="en-US" w:eastAsia="zh-CN"/>
        </w:rPr>
        <w:t>并</w:t>
      </w:r>
      <w:r>
        <w:rPr>
          <w:rFonts w:hint="default" w:ascii="Times New Roman" w:hAnsi="Times New Roman" w:eastAsia="仿宋_GB2312" w:cs="Times New Roman"/>
          <w:color w:val="000000"/>
          <w:sz w:val="32"/>
          <w:szCs w:val="32"/>
          <w:lang w:val="en-US" w:eastAsia="zh-CN"/>
        </w:rPr>
        <w:t>就修法有关考虑及修正案内容书面征求</w:t>
      </w:r>
      <w:r>
        <w:rPr>
          <w:rFonts w:hint="eastAsia" w:cs="Times New Roman"/>
          <w:color w:val="000000"/>
          <w:sz w:val="32"/>
          <w:szCs w:val="32"/>
          <w:lang w:val="en-US" w:eastAsia="zh-CN"/>
        </w:rPr>
        <w:t>相关</w:t>
      </w:r>
      <w:r>
        <w:rPr>
          <w:rFonts w:hint="default" w:ascii="Times New Roman" w:hAnsi="Times New Roman" w:eastAsia="仿宋_GB2312" w:cs="Times New Roman"/>
          <w:color w:val="000000"/>
          <w:sz w:val="32"/>
          <w:szCs w:val="32"/>
          <w:lang w:val="en-US" w:eastAsia="zh-CN"/>
        </w:rPr>
        <w:t>部门意见</w:t>
      </w:r>
      <w:r>
        <w:rPr>
          <w:rFonts w:hint="eastAsia" w:cs="Times New Roman"/>
          <w:color w:val="000000"/>
          <w:sz w:val="32"/>
          <w:szCs w:val="32"/>
          <w:lang w:val="en-US" w:eastAsia="zh-CN"/>
        </w:rPr>
        <w:t>，</w:t>
      </w:r>
      <w:r>
        <w:rPr>
          <w:rFonts w:hint="eastAsia" w:cs="Times New Roman"/>
          <w:color w:val="000000"/>
          <w:kern w:val="0"/>
          <w:sz w:val="32"/>
          <w:szCs w:val="32"/>
          <w:lang w:val="en-US" w:eastAsia="zh-CN"/>
        </w:rPr>
        <w:t>逐一进行分类梳理、分析研究，</w:t>
      </w:r>
      <w:r>
        <w:rPr>
          <w:rFonts w:hint="eastAsia" w:cs="Times New Roman"/>
          <w:color w:val="000000"/>
          <w:sz w:val="32"/>
          <w:szCs w:val="32"/>
          <w:lang w:val="en-US" w:eastAsia="zh-CN"/>
        </w:rPr>
        <w:t>充分吸纳并达成一致。</w:t>
      </w:r>
    </w:p>
    <w:p w14:paraId="23356FD0">
      <w:pPr>
        <w:keepNext w:val="0"/>
        <w:keepLines w:val="0"/>
        <w:pageBreakBefore w:val="0"/>
        <w:widowControl w:val="0"/>
        <w:numPr>
          <w:ilvl w:val="0"/>
          <w:numId w:val="0"/>
        </w:numPr>
        <w:kinsoku/>
        <w:wordWrap/>
        <w:overflowPunct/>
        <w:topLinePunct w:val="0"/>
        <w:autoSpaceDE w:val="0"/>
        <w:autoSpaceDN w:val="0"/>
        <w:bidi w:val="0"/>
        <w:adjustRightInd/>
        <w:snapToGrid w:val="0"/>
        <w:spacing w:line="594" w:lineRule="exact"/>
        <w:ind w:firstLine="632" w:firstLineChars="200"/>
        <w:jc w:val="both"/>
        <w:textAlignment w:val="auto"/>
        <w:outlineLvl w:val="9"/>
        <w:rPr>
          <w:rFonts w:hint="default" w:eastAsia="黑体" w:cs="Times New Roman"/>
          <w:color w:val="000000"/>
          <w:sz w:val="32"/>
          <w:szCs w:val="32"/>
          <w:lang w:val="en-US" w:eastAsia="zh-CN"/>
        </w:rPr>
      </w:pPr>
      <w:r>
        <w:rPr>
          <w:rFonts w:hint="eastAsia" w:eastAsia="黑体" w:cs="Times New Roman"/>
          <w:color w:val="000000"/>
          <w:sz w:val="32"/>
          <w:szCs w:val="32"/>
          <w:lang w:val="en-US" w:eastAsia="zh-CN"/>
        </w:rPr>
        <w:t>三、主要内容</w:t>
      </w:r>
    </w:p>
    <w:p w14:paraId="54485B5E">
      <w:pPr>
        <w:pStyle w:val="3"/>
        <w:widowControl w:val="0"/>
        <w:ind w:firstLine="632" w:firstLineChars="200"/>
        <w:rPr>
          <w:rFonts w:hint="default" w:ascii="Times New Roman" w:hAnsi="Times New Roman" w:eastAsia="仿宋_GB2312" w:cs="Times New Roman"/>
          <w:i w:val="0"/>
          <w:iCs w:val="0"/>
          <w:caps w:val="0"/>
          <w:color w:val="000000"/>
          <w:spacing w:val="0"/>
          <w:kern w:val="2"/>
          <w:sz w:val="32"/>
          <w:szCs w:val="32"/>
          <w:shd w:val="clear" w:color="auto" w:fill="auto"/>
          <w:lang w:val="en-US" w:eastAsia="zh-CN" w:bidi="ar-SA"/>
        </w:rPr>
      </w:pPr>
      <w:r>
        <w:rPr>
          <w:rFonts w:hint="eastAsia" w:cs="Times New Roman"/>
          <w:color w:val="000000"/>
          <w:sz w:val="32"/>
          <w:szCs w:val="32"/>
          <w:lang w:val="en-US" w:eastAsia="zh-CN"/>
        </w:rPr>
        <w:t>聚焦重点液态类食品散装运输许可准入事项，拟在现行</w:t>
      </w:r>
      <w:r>
        <w:rPr>
          <w:rFonts w:hint="eastAsia" w:cs="Times New Roman"/>
          <w:color w:val="000000"/>
          <w:kern w:val="0"/>
          <w:sz w:val="32"/>
          <w:szCs w:val="32"/>
          <w:lang w:val="en-US" w:eastAsia="zh-CN"/>
        </w:rPr>
        <w:t>《食品安全法》中</w:t>
      </w:r>
      <w:r>
        <w:rPr>
          <w:rFonts w:hint="default" w:ascii="Times New Roman" w:hAnsi="Times New Roman" w:eastAsia="仿宋_GB2312" w:cs="Times New Roman"/>
          <w:color w:val="000000"/>
          <w:sz w:val="32"/>
          <w:szCs w:val="32"/>
          <w:lang w:val="en-US" w:eastAsia="zh-CN"/>
        </w:rPr>
        <w:t>增加条款内容</w:t>
      </w:r>
      <w:r>
        <w:rPr>
          <w:rFonts w:hint="eastAsia" w:cs="Times New Roman"/>
          <w:color w:val="000000"/>
          <w:sz w:val="32"/>
          <w:szCs w:val="32"/>
          <w:lang w:val="en-US" w:eastAsia="zh-CN"/>
        </w:rPr>
        <w:t>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第XX条 国家对重点液态类食品散装运输实行许可制度。</w:t>
      </w:r>
      <w:r>
        <w:rPr>
          <w:rFonts w:hint="default" w:ascii="Times New Roman" w:hAnsi="Times New Roman" w:eastAsia="仿宋_GB2312" w:cs="Times New Roman"/>
          <w:color w:val="000000"/>
          <w:spacing w:val="0"/>
          <w:kern w:val="2"/>
          <w:sz w:val="32"/>
          <w:szCs w:val="32"/>
          <w:lang w:val="en-US" w:eastAsia="zh-CN" w:bidi="ar-SA"/>
        </w:rPr>
        <w:t>从事重点液态类食品散装运输，应当具有与所运输食品相适应的交通工具、容器、作业人员和管理制度，并依法取得重点液态类食品散装运输</w:t>
      </w:r>
      <w:r>
        <w:rPr>
          <w:rFonts w:hint="eastAsia" w:ascii="Times New Roman" w:hAnsi="Times New Roman" w:cs="Times New Roman"/>
          <w:color w:val="000000"/>
          <w:spacing w:val="0"/>
          <w:kern w:val="2"/>
          <w:sz w:val="32"/>
          <w:szCs w:val="32"/>
          <w:lang w:val="en-US" w:eastAsia="zh-CN" w:bidi="ar-SA"/>
        </w:rPr>
        <w:t>准运证明</w:t>
      </w:r>
      <w:r>
        <w:rPr>
          <w:rFonts w:hint="default" w:ascii="Times New Roman" w:hAnsi="Times New Roman" w:eastAsia="仿宋_GB2312" w:cs="Times New Roman"/>
          <w:color w:val="000000"/>
          <w:spacing w:val="0"/>
          <w:kern w:val="2"/>
          <w:sz w:val="32"/>
          <w:szCs w:val="32"/>
          <w:lang w:val="en-US" w:eastAsia="zh-CN" w:bidi="ar-SA"/>
        </w:rPr>
        <w:t>。县级以上地方人民政府食品安全监督管理部门应当依照《中华人民共和国行政许可法》的规定，审核申请人提交的前款规定要求的相关资料，对符合规定条件的，准予许可；对不符合规定条件的，不予许可并书面说明理由。</w:t>
      </w:r>
      <w:r>
        <w:rPr>
          <w:rFonts w:hint="default" w:ascii="Times New Roman" w:hAnsi="Times New Roman" w:eastAsia="仿宋_GB2312" w:cs="Times New Roman"/>
          <w:color w:val="000000"/>
          <w:sz w:val="32"/>
          <w:szCs w:val="32"/>
          <w:lang w:val="en-US" w:eastAsia="zh-CN"/>
        </w:rPr>
        <w:t>重点液态类食品目录由国务院食品安全监督管理部门会同交通运输管理等部门制定</w:t>
      </w:r>
      <w:r>
        <w:rPr>
          <w:rFonts w:hint="eastAsia" w:ascii="Times New Roman" w:hAnsi="Times New Roman" w:cs="Times New Roman"/>
          <w:color w:val="000000"/>
          <w:sz w:val="32"/>
          <w:szCs w:val="32"/>
          <w:lang w:val="en-US" w:eastAsia="zh-CN"/>
        </w:rPr>
        <w:t>，经国务院批准后执行</w:t>
      </w:r>
      <w:r>
        <w:rPr>
          <w:rFonts w:hint="default" w:ascii="Times New Roman" w:hAnsi="Times New Roman" w:eastAsia="仿宋_GB2312" w:cs="Times New Roman"/>
          <w:color w:val="000000"/>
          <w:sz w:val="32"/>
          <w:szCs w:val="32"/>
          <w:lang w:val="en-US" w:eastAsia="zh-CN"/>
        </w:rPr>
        <w:t>。</w:t>
      </w:r>
      <w:r>
        <w:rPr>
          <w:rFonts w:hint="eastAsia" w:cs="Times New Roman"/>
          <w:color w:val="000000"/>
          <w:sz w:val="32"/>
          <w:szCs w:val="32"/>
          <w:lang w:val="en-US" w:eastAsia="zh-CN"/>
        </w:rPr>
        <w:t>”将</w:t>
      </w:r>
      <w:r>
        <w:rPr>
          <w:rFonts w:hint="eastAsia" w:ascii="Times New Roman" w:hAnsi="Times New Roman" w:eastAsia="仿宋_GB2312" w:cs="Times New Roman"/>
          <w:i w:val="0"/>
          <w:iCs w:val="0"/>
          <w:caps w:val="0"/>
          <w:color w:val="000000"/>
          <w:spacing w:val="0"/>
          <w:kern w:val="2"/>
          <w:sz w:val="32"/>
          <w:szCs w:val="32"/>
          <w:shd w:val="clear" w:color="auto" w:fill="auto"/>
          <w:lang w:val="en-US" w:eastAsia="zh-CN" w:bidi="ar-SA"/>
        </w:rPr>
        <w:t>第一百三十二条</w:t>
      </w:r>
      <w:r>
        <w:rPr>
          <w:rFonts w:hint="eastAsia" w:cs="Times New Roman"/>
          <w:color w:val="000000"/>
          <w:sz w:val="32"/>
          <w:szCs w:val="32"/>
          <w:lang w:val="en-US" w:eastAsia="zh-CN"/>
        </w:rPr>
        <w:t>修改</w:t>
      </w:r>
      <w:r>
        <w:rPr>
          <w:rFonts w:hint="eastAsia" w:cs="Times New Roman"/>
          <w:i w:val="0"/>
          <w:iCs w:val="0"/>
          <w:caps w:val="0"/>
          <w:color w:val="000000"/>
          <w:spacing w:val="0"/>
          <w:kern w:val="2"/>
          <w:sz w:val="32"/>
          <w:szCs w:val="32"/>
          <w:shd w:val="clear" w:color="auto" w:fill="auto"/>
          <w:lang w:val="en-US" w:eastAsia="zh-CN" w:bidi="ar-SA"/>
        </w:rPr>
        <w:t>为“</w:t>
      </w:r>
      <w:r>
        <w:rPr>
          <w:rFonts w:hint="default" w:ascii="Times New Roman" w:hAnsi="Times New Roman" w:eastAsia="仿宋_GB2312" w:cs="Times New Roman"/>
          <w:color w:val="000000"/>
          <w:sz w:val="32"/>
          <w:szCs w:val="32"/>
          <w:lang w:val="en-US" w:eastAsia="zh-CN"/>
        </w:rPr>
        <w:t>第XX条 违反本法规定，未取得重点液态类食品散装运输许可从事重点液态类食品散装运输的，由县级以上人民政府食品安全监督管理部门没收违法所得，并处五万元以上五十万元以下罚款。违反本法规定，未按要求进行食品贮存、运输和装卸的，由县级以上人民政府食品安全监督管理等部门按照各自职责分工责令改正，给予警告；拒不改正的，责令停产停业，并处一万元以上五万元以下罚款；情节严重的，处五万元以上五十万元以下罚款，并吊销许可证。</w:t>
      </w:r>
      <w:r>
        <w:rPr>
          <w:rFonts w:hint="eastAsia" w:ascii="Times New Roman" w:hAnsi="Times New Roman" w:cs="Times New Roman"/>
          <w:color w:val="000000"/>
          <w:sz w:val="32"/>
          <w:szCs w:val="32"/>
          <w:lang w:val="en-US" w:eastAsia="zh-CN"/>
        </w:rPr>
        <w:t>”</w:t>
      </w:r>
    </w:p>
    <w:p w14:paraId="176E8D58">
      <w:pPr>
        <w:keepNext w:val="0"/>
        <w:keepLines w:val="0"/>
        <w:pageBreakBefore w:val="0"/>
        <w:kinsoku/>
        <w:wordWrap/>
        <w:overflowPunct/>
        <w:topLinePunct w:val="0"/>
        <w:autoSpaceDE/>
        <w:autoSpaceDN/>
        <w:bidi w:val="0"/>
        <w:adjustRightInd/>
        <w:snapToGrid/>
        <w:spacing w:line="594" w:lineRule="exact"/>
        <w:ind w:firstLine="632" w:firstLineChars="200"/>
        <w:jc w:val="both"/>
        <w:textAlignment w:val="auto"/>
        <w:rPr>
          <w:rFonts w:hint="eastAsia" w:ascii="黑体" w:hAnsi="黑体" w:eastAsia="黑体" w:cs="黑体"/>
          <w:lang w:val="en-US" w:eastAsia="zh-CN"/>
        </w:rPr>
      </w:pPr>
    </w:p>
    <w:p w14:paraId="5CB2721E">
      <w:pPr>
        <w:keepNext w:val="0"/>
        <w:keepLines w:val="0"/>
        <w:pageBreakBefore w:val="0"/>
        <w:widowControl w:val="0"/>
        <w:numPr>
          <w:ilvl w:val="0"/>
          <w:numId w:val="0"/>
        </w:numPr>
        <w:kinsoku/>
        <w:wordWrap/>
        <w:overflowPunct/>
        <w:topLinePunct w:val="0"/>
        <w:autoSpaceDE w:val="0"/>
        <w:autoSpaceDN w:val="0"/>
        <w:bidi w:val="0"/>
        <w:adjustRightInd/>
        <w:snapToGrid w:val="0"/>
        <w:spacing w:line="594" w:lineRule="exact"/>
        <w:ind w:firstLine="0" w:firstLineChars="0"/>
        <w:jc w:val="both"/>
        <w:textAlignment w:val="auto"/>
        <w:outlineLvl w:val="9"/>
        <w:rPr>
          <w:rFonts w:hint="eastAsia"/>
          <w:highlight w:val="yellow"/>
          <w:lang w:val="en-US" w:eastAsia="zh-CN"/>
        </w:rPr>
      </w:pPr>
    </w:p>
    <w:sectPr>
      <w:footerReference r:id="rId5" w:type="default"/>
      <w:footerReference r:id="rId6" w:type="even"/>
      <w:pgSz w:w="11906" w:h="16838"/>
      <w:pgMar w:top="2098" w:right="1531" w:bottom="2041" w:left="1531" w:header="851" w:footer="1191" w:gutter="0"/>
      <w:pgBorders>
        <w:top w:val="none" w:sz="0" w:space="0"/>
        <w:left w:val="none" w:sz="0" w:space="0"/>
        <w:bottom w:val="none" w:sz="0" w:space="0"/>
        <w:right w:val="none" w:sz="0" w:space="0"/>
      </w:pgBorders>
      <w:pgNumType w:fmt="decimal"/>
      <w:cols w:space="720" w:num="1"/>
      <w:rtlGutter w:val="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楷体_GBK">
    <w:altName w:val="微软雅黑"/>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ABFE6">
    <w:pPr>
      <w:bidi w:val="0"/>
      <w:rPr>
        <w:rFonts w:hint="eastAsia"/>
      </w:rPr>
    </w:pPr>
    <w:r>
      <w:pict>
        <v:shape id="文本框 5" o:spid="_x0000_s4097" o:spt="202" type="#_x0000_t202" style="position:absolute;left:0pt;margin-top:750.6pt;height:144pt;width:144pt;mso-position-horizontal:outside;mso-position-horizontal-relative:margin;mso-position-vertical-relative:page;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071A896A">
                <w:pPr>
                  <w:tabs>
                    <w:tab w:val="center" w:pos="4153"/>
                    <w:tab w:val="right" w:pos="8306"/>
                  </w:tabs>
                  <w:rPr>
                    <w:rFonts w:ascii="宋体" w:hAnsi="宋体" w:eastAsia="宋体"/>
                    <w:sz w:val="28"/>
                  </w:rPr>
                </w:pPr>
                <w:bookmarkStart w:id="0"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0"/>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5A1C1">
    <w:pPr>
      <w:keepNext w:val="0"/>
      <w:keepLines w:val="0"/>
      <w:pageBreakBefore w:val="0"/>
      <w:widowControl w:val="0"/>
      <w:tabs>
        <w:tab w:val="center" w:pos="4153"/>
        <w:tab w:val="right" w:pos="8306"/>
      </w:tabs>
      <w:kinsoku/>
      <w:wordWrap/>
      <w:overflowPunct w:val="0"/>
      <w:topLinePunct w:val="0"/>
      <w:autoSpaceDE w:val="0"/>
      <w:autoSpaceDN w:val="0"/>
      <w:bidi w:val="0"/>
      <w:adjustRightInd w:val="0"/>
      <w:snapToGrid/>
      <w:spacing w:line="471" w:lineRule="auto"/>
      <w:ind w:left="320" w:leftChars="100" w:right="0" w:rightChars="0" w:firstLine="0" w:firstLineChars="0"/>
      <w:jc w:val="left"/>
      <w:textAlignment w:val="baseline"/>
      <w:outlineLvl w:val="9"/>
      <w:rPr>
        <w:rFonts w:hint="eastAsia" w:ascii="宋体" w:hAnsi="宋体" w:eastAsia="宋体"/>
        <w:sz w:val="28"/>
      </w:rPr>
    </w:pPr>
    <w:r>
      <w:rPr>
        <w:sz w:val="28"/>
      </w:rPr>
      <w:pict>
        <v:shape id="文本框 2" o:spid="_x0000_s4096" o:spt="202" type="#_x0000_t202" style="position:absolute;left:0pt;margin-left:7.25pt;margin-top:1.2pt;height:27pt;width:137.2pt;z-index:251659264;mso-width-relative:page;mso-height-relative:page;" fillcolor="#FFFFFF" filled="t" stroked="f" coordsize="21600,21600" o:gfxdata="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Auy2NcAAAAHAQAA&#10;DwAAAAAAAAABACAAAAAiAAAAZHJzL2Rvd25yZXYueG1sUEsBAhQAFAAAAAgAh07iQG6cWAIaAgAA&#10;OwQAAA4AAAAAAAAAAQAgAAAAJgEAAGRycy9lMm9Eb2MueG1sUEsFBgAAAAAGAAYAWQEAALIFAAAA&#10;AA==&#10;">
          <v:path/>
          <v:fill type="gradient" on="t" color2="#FFFFFF" angle="90" focus="100%" focussize="0,0">
            <o:fill type="gradientUnscaled" v:ext="backwardCompatible"/>
          </v:fill>
          <v:stroke on="f" weight="1.25pt"/>
          <v:imagedata o:title=""/>
          <o:lock v:ext="edit" aspectratio="f"/>
          <v:textbox>
            <w:txbxContent>
              <w:p w14:paraId="6201CA1A">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7DE0D"/>
    <w:multiLevelType w:val="multilevel"/>
    <w:tmpl w:val="DFC7DE0D"/>
    <w:lvl w:ilvl="0" w:tentative="0">
      <w:start w:val="1"/>
      <w:numFmt w:val="chineseCounting"/>
      <w:pStyle w:val="13"/>
      <w:suff w:val="nothing"/>
      <w:lvlText w:val="%1、"/>
      <w:lvlJc w:val="left"/>
      <w:pPr>
        <w:ind w:left="0" w:firstLine="0"/>
      </w:pPr>
      <w:rPr>
        <w:rFonts w:hint="eastAsia"/>
      </w:rPr>
    </w:lvl>
    <w:lvl w:ilvl="1" w:tentative="0">
      <w:start w:val="1"/>
      <w:numFmt w:val="chineseCounting"/>
      <w:pStyle w:val="11"/>
      <w:suff w:val="nothing"/>
      <w:lvlText w:val="（%2）"/>
      <w:lvlJc w:val="left"/>
      <w:pPr>
        <w:ind w:left="0" w:firstLine="0"/>
      </w:pPr>
      <w:rPr>
        <w:rFonts w:hint="eastAsia"/>
      </w:rPr>
    </w:lvl>
    <w:lvl w:ilvl="2" w:tentative="0">
      <w:start w:val="1"/>
      <w:numFmt w:val="decimal"/>
      <w:pStyle w:val="14"/>
      <w:suff w:val="nothing"/>
      <w:lvlText w:val="%3．"/>
      <w:lvlJc w:val="left"/>
      <w:pPr>
        <w:ind w:left="0" w:firstLine="0"/>
      </w:pPr>
      <w:rPr>
        <w:rFonts w:hint="eastAsia"/>
      </w:rPr>
    </w:lvl>
    <w:lvl w:ilvl="3" w:tentative="0">
      <w:start w:val="1"/>
      <w:numFmt w:val="decimal"/>
      <w:pStyle w:val="12"/>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abstractNum w:abstractNumId="1">
    <w:nsid w:val="FABFCCA4"/>
    <w:multiLevelType w:val="singleLevel"/>
    <w:tmpl w:val="FABFCCA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632"/>
  <w:hyphenationZone w:val="360"/>
  <w:drawingGridHorizontalSpacing w:val="158"/>
  <w:drawingGridVerticalSpacing w:val="28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DocStyle" w:val="2"/>
  </w:docVars>
  <w:rsids>
    <w:rsidRoot w:val="77BF4FA9"/>
    <w:rsid w:val="008B11F3"/>
    <w:rsid w:val="00B947D2"/>
    <w:rsid w:val="00D45FD9"/>
    <w:rsid w:val="00E84DC2"/>
    <w:rsid w:val="00EB1AF2"/>
    <w:rsid w:val="01C934A7"/>
    <w:rsid w:val="022E51A4"/>
    <w:rsid w:val="028F0068"/>
    <w:rsid w:val="03121E2D"/>
    <w:rsid w:val="03CD17B3"/>
    <w:rsid w:val="054F4CD9"/>
    <w:rsid w:val="060D2361"/>
    <w:rsid w:val="06D40C09"/>
    <w:rsid w:val="06FD7006"/>
    <w:rsid w:val="074467B0"/>
    <w:rsid w:val="07D73FF6"/>
    <w:rsid w:val="09477431"/>
    <w:rsid w:val="09DD383B"/>
    <w:rsid w:val="0A8A71D7"/>
    <w:rsid w:val="0B271356"/>
    <w:rsid w:val="0B3E49A1"/>
    <w:rsid w:val="0B6F2EB2"/>
    <w:rsid w:val="0BBC797B"/>
    <w:rsid w:val="0BBE7C4E"/>
    <w:rsid w:val="0BC165AA"/>
    <w:rsid w:val="0BCC68EA"/>
    <w:rsid w:val="0BD229F1"/>
    <w:rsid w:val="0C614AB6"/>
    <w:rsid w:val="0CC41080"/>
    <w:rsid w:val="0D633744"/>
    <w:rsid w:val="0D8B3047"/>
    <w:rsid w:val="0DE15FD5"/>
    <w:rsid w:val="0EED5E99"/>
    <w:rsid w:val="0F701F63"/>
    <w:rsid w:val="0F734D7E"/>
    <w:rsid w:val="0FDF4796"/>
    <w:rsid w:val="1002755C"/>
    <w:rsid w:val="10B33D68"/>
    <w:rsid w:val="11237698"/>
    <w:rsid w:val="11942024"/>
    <w:rsid w:val="11AA0589"/>
    <w:rsid w:val="11E81EE1"/>
    <w:rsid w:val="11F36492"/>
    <w:rsid w:val="123723D1"/>
    <w:rsid w:val="12987453"/>
    <w:rsid w:val="1381018F"/>
    <w:rsid w:val="13B7686C"/>
    <w:rsid w:val="13C65400"/>
    <w:rsid w:val="13D609D3"/>
    <w:rsid w:val="14C37AE5"/>
    <w:rsid w:val="15332E80"/>
    <w:rsid w:val="16960FB4"/>
    <w:rsid w:val="16BD1C5E"/>
    <w:rsid w:val="16D82805"/>
    <w:rsid w:val="17080455"/>
    <w:rsid w:val="175D537C"/>
    <w:rsid w:val="17860E91"/>
    <w:rsid w:val="1794461D"/>
    <w:rsid w:val="17ED57D0"/>
    <w:rsid w:val="18355BC4"/>
    <w:rsid w:val="187D5F43"/>
    <w:rsid w:val="18EF7410"/>
    <w:rsid w:val="1AEF1640"/>
    <w:rsid w:val="1AFF11D0"/>
    <w:rsid w:val="1B486B8B"/>
    <w:rsid w:val="1B854BF2"/>
    <w:rsid w:val="1B996FD0"/>
    <w:rsid w:val="1BBB377F"/>
    <w:rsid w:val="1BCA4E4E"/>
    <w:rsid w:val="1C2D3246"/>
    <w:rsid w:val="1C313B23"/>
    <w:rsid w:val="1C7BB57B"/>
    <w:rsid w:val="1C7F3050"/>
    <w:rsid w:val="1CDA3AB5"/>
    <w:rsid w:val="1CFF8C3B"/>
    <w:rsid w:val="1D167259"/>
    <w:rsid w:val="1D4E2424"/>
    <w:rsid w:val="1D4E3B6D"/>
    <w:rsid w:val="1D6B3520"/>
    <w:rsid w:val="1DBE8CBD"/>
    <w:rsid w:val="1DDD4A9D"/>
    <w:rsid w:val="1DE6AB6E"/>
    <w:rsid w:val="1DF7BAB0"/>
    <w:rsid w:val="1E1E0F6E"/>
    <w:rsid w:val="1E5F434E"/>
    <w:rsid w:val="1EE14DB9"/>
    <w:rsid w:val="1FAF4DFB"/>
    <w:rsid w:val="1FEBE604"/>
    <w:rsid w:val="208609C4"/>
    <w:rsid w:val="21567D40"/>
    <w:rsid w:val="218F2800"/>
    <w:rsid w:val="218F339D"/>
    <w:rsid w:val="21962D28"/>
    <w:rsid w:val="21D81213"/>
    <w:rsid w:val="225603D9"/>
    <w:rsid w:val="22602F7B"/>
    <w:rsid w:val="23205982"/>
    <w:rsid w:val="238667D1"/>
    <w:rsid w:val="23D5305D"/>
    <w:rsid w:val="23E11F56"/>
    <w:rsid w:val="247A7642"/>
    <w:rsid w:val="250A05C9"/>
    <w:rsid w:val="25DC6129"/>
    <w:rsid w:val="25F87A5A"/>
    <w:rsid w:val="26082272"/>
    <w:rsid w:val="260D160E"/>
    <w:rsid w:val="26C713AC"/>
    <w:rsid w:val="26D64C18"/>
    <w:rsid w:val="27086B6D"/>
    <w:rsid w:val="27553ABE"/>
    <w:rsid w:val="27DA2D80"/>
    <w:rsid w:val="27FF449E"/>
    <w:rsid w:val="281A38C2"/>
    <w:rsid w:val="28491475"/>
    <w:rsid w:val="285443B7"/>
    <w:rsid w:val="28611B98"/>
    <w:rsid w:val="2A003631"/>
    <w:rsid w:val="2A0321A1"/>
    <w:rsid w:val="2A1838AC"/>
    <w:rsid w:val="2A783D3B"/>
    <w:rsid w:val="2ABA4E53"/>
    <w:rsid w:val="2B097DA7"/>
    <w:rsid w:val="2BF1635E"/>
    <w:rsid w:val="2BF3193B"/>
    <w:rsid w:val="2C38122A"/>
    <w:rsid w:val="2CF730DA"/>
    <w:rsid w:val="2D140142"/>
    <w:rsid w:val="2D5653ED"/>
    <w:rsid w:val="2D5C32B5"/>
    <w:rsid w:val="2DCF64CE"/>
    <w:rsid w:val="2EC538B9"/>
    <w:rsid w:val="2F5F8434"/>
    <w:rsid w:val="2F8C6535"/>
    <w:rsid w:val="30D868B1"/>
    <w:rsid w:val="30DB78F1"/>
    <w:rsid w:val="31231C2B"/>
    <w:rsid w:val="31E45A5D"/>
    <w:rsid w:val="32C67E9A"/>
    <w:rsid w:val="32D24BAE"/>
    <w:rsid w:val="336549AC"/>
    <w:rsid w:val="3390006B"/>
    <w:rsid w:val="34661D88"/>
    <w:rsid w:val="347A1058"/>
    <w:rsid w:val="34D9266B"/>
    <w:rsid w:val="34FF1617"/>
    <w:rsid w:val="350F349A"/>
    <w:rsid w:val="353B70B9"/>
    <w:rsid w:val="353F1ED0"/>
    <w:rsid w:val="35503F04"/>
    <w:rsid w:val="35CE565F"/>
    <w:rsid w:val="35EF1C98"/>
    <w:rsid w:val="36B21EFF"/>
    <w:rsid w:val="3726572C"/>
    <w:rsid w:val="377EDA86"/>
    <w:rsid w:val="37B3DDA8"/>
    <w:rsid w:val="386E78AD"/>
    <w:rsid w:val="38A74A9E"/>
    <w:rsid w:val="39C602F3"/>
    <w:rsid w:val="39DE47A8"/>
    <w:rsid w:val="39FB44A3"/>
    <w:rsid w:val="3A3B21A2"/>
    <w:rsid w:val="3AAF3A4F"/>
    <w:rsid w:val="3AFEF390"/>
    <w:rsid w:val="3B2E3899"/>
    <w:rsid w:val="3BE63153"/>
    <w:rsid w:val="3CC86FC9"/>
    <w:rsid w:val="3CDB7A18"/>
    <w:rsid w:val="3D2C38E9"/>
    <w:rsid w:val="3D98639D"/>
    <w:rsid w:val="3DDF61ED"/>
    <w:rsid w:val="3DF7DF36"/>
    <w:rsid w:val="3DFD9437"/>
    <w:rsid w:val="3DFE4F58"/>
    <w:rsid w:val="3E1942EE"/>
    <w:rsid w:val="3E6B358D"/>
    <w:rsid w:val="3E97BFE5"/>
    <w:rsid w:val="3EAF451B"/>
    <w:rsid w:val="3EEBC04A"/>
    <w:rsid w:val="3EFD896B"/>
    <w:rsid w:val="3EFF638D"/>
    <w:rsid w:val="3F330B1A"/>
    <w:rsid w:val="3F68198D"/>
    <w:rsid w:val="3FBF1E3F"/>
    <w:rsid w:val="3FDBF4B5"/>
    <w:rsid w:val="3FEF75E0"/>
    <w:rsid w:val="3FFF0295"/>
    <w:rsid w:val="41336AD4"/>
    <w:rsid w:val="417A2B70"/>
    <w:rsid w:val="419D07B6"/>
    <w:rsid w:val="41EC790D"/>
    <w:rsid w:val="42601751"/>
    <w:rsid w:val="433B14DC"/>
    <w:rsid w:val="43C03DDF"/>
    <w:rsid w:val="44092317"/>
    <w:rsid w:val="440D326B"/>
    <w:rsid w:val="44AF59DF"/>
    <w:rsid w:val="452B5EE5"/>
    <w:rsid w:val="46345762"/>
    <w:rsid w:val="46AD3014"/>
    <w:rsid w:val="473E3A05"/>
    <w:rsid w:val="47D04DD3"/>
    <w:rsid w:val="482E6800"/>
    <w:rsid w:val="49C24091"/>
    <w:rsid w:val="49D44350"/>
    <w:rsid w:val="4A020EFA"/>
    <w:rsid w:val="4AB72E35"/>
    <w:rsid w:val="4AF4750C"/>
    <w:rsid w:val="4B3C511D"/>
    <w:rsid w:val="4B813B7F"/>
    <w:rsid w:val="4BAA21AF"/>
    <w:rsid w:val="4BB72F4C"/>
    <w:rsid w:val="4C424DA5"/>
    <w:rsid w:val="4C43011F"/>
    <w:rsid w:val="4C9A22DD"/>
    <w:rsid w:val="4CEB05BD"/>
    <w:rsid w:val="4D2D2CCC"/>
    <w:rsid w:val="4F275969"/>
    <w:rsid w:val="4F79E666"/>
    <w:rsid w:val="4F7C26ED"/>
    <w:rsid w:val="4FC96D4D"/>
    <w:rsid w:val="4FDDAC64"/>
    <w:rsid w:val="4FE75B49"/>
    <w:rsid w:val="4FEA72B7"/>
    <w:rsid w:val="50396AAB"/>
    <w:rsid w:val="51F3FE06"/>
    <w:rsid w:val="51F64E63"/>
    <w:rsid w:val="5206251F"/>
    <w:rsid w:val="527362D4"/>
    <w:rsid w:val="529C6295"/>
    <w:rsid w:val="52CB3AA0"/>
    <w:rsid w:val="52FF2EFD"/>
    <w:rsid w:val="53CC335A"/>
    <w:rsid w:val="54AD6F7A"/>
    <w:rsid w:val="557C634E"/>
    <w:rsid w:val="55E23AF4"/>
    <w:rsid w:val="560E3C80"/>
    <w:rsid w:val="56391F84"/>
    <w:rsid w:val="56E527CC"/>
    <w:rsid w:val="575B3360"/>
    <w:rsid w:val="5768330F"/>
    <w:rsid w:val="57A0451C"/>
    <w:rsid w:val="57A10251"/>
    <w:rsid w:val="57D7D9DD"/>
    <w:rsid w:val="57DFDF45"/>
    <w:rsid w:val="582B203B"/>
    <w:rsid w:val="58BB8C0F"/>
    <w:rsid w:val="58C92322"/>
    <w:rsid w:val="58F238E6"/>
    <w:rsid w:val="59BF5EB8"/>
    <w:rsid w:val="59D7EE3B"/>
    <w:rsid w:val="5A360971"/>
    <w:rsid w:val="5A530628"/>
    <w:rsid w:val="5A7F0CD0"/>
    <w:rsid w:val="5AA51BA0"/>
    <w:rsid w:val="5AB3246B"/>
    <w:rsid w:val="5AFBEC2E"/>
    <w:rsid w:val="5B8F7F02"/>
    <w:rsid w:val="5BCC4E29"/>
    <w:rsid w:val="5BFFC0D3"/>
    <w:rsid w:val="5C0E30F8"/>
    <w:rsid w:val="5C106A66"/>
    <w:rsid w:val="5C4B558F"/>
    <w:rsid w:val="5CA31495"/>
    <w:rsid w:val="5D41361C"/>
    <w:rsid w:val="5D432A17"/>
    <w:rsid w:val="5D471492"/>
    <w:rsid w:val="5D5F6382"/>
    <w:rsid w:val="5D7D1A53"/>
    <w:rsid w:val="5D9FE739"/>
    <w:rsid w:val="5DBFC11B"/>
    <w:rsid w:val="5E3C311E"/>
    <w:rsid w:val="5E743A82"/>
    <w:rsid w:val="5E970CEE"/>
    <w:rsid w:val="5EBC5805"/>
    <w:rsid w:val="5F592BE9"/>
    <w:rsid w:val="5F5F03AF"/>
    <w:rsid w:val="5F8318CF"/>
    <w:rsid w:val="5FEA1289"/>
    <w:rsid w:val="5FFF0468"/>
    <w:rsid w:val="60215972"/>
    <w:rsid w:val="607E5AB0"/>
    <w:rsid w:val="609E6414"/>
    <w:rsid w:val="60C13DEF"/>
    <w:rsid w:val="612D3043"/>
    <w:rsid w:val="61D86680"/>
    <w:rsid w:val="61FF0C4E"/>
    <w:rsid w:val="626C0722"/>
    <w:rsid w:val="62CF672C"/>
    <w:rsid w:val="631B0443"/>
    <w:rsid w:val="646C40CD"/>
    <w:rsid w:val="64852A79"/>
    <w:rsid w:val="649D4252"/>
    <w:rsid w:val="64AC47C3"/>
    <w:rsid w:val="653818D1"/>
    <w:rsid w:val="656D3647"/>
    <w:rsid w:val="665541AD"/>
    <w:rsid w:val="66922AE6"/>
    <w:rsid w:val="66C5682B"/>
    <w:rsid w:val="6708785B"/>
    <w:rsid w:val="673C74A5"/>
    <w:rsid w:val="67AF9411"/>
    <w:rsid w:val="67E3C8F1"/>
    <w:rsid w:val="67FE2B69"/>
    <w:rsid w:val="680C0D40"/>
    <w:rsid w:val="68BC2222"/>
    <w:rsid w:val="69367529"/>
    <w:rsid w:val="695276E9"/>
    <w:rsid w:val="69AC7D9E"/>
    <w:rsid w:val="6A5C247B"/>
    <w:rsid w:val="6A9E0DF9"/>
    <w:rsid w:val="6A9F7A42"/>
    <w:rsid w:val="6BCA1B36"/>
    <w:rsid w:val="6BECA428"/>
    <w:rsid w:val="6BFB5F69"/>
    <w:rsid w:val="6BFF7E7B"/>
    <w:rsid w:val="6BFFDE3F"/>
    <w:rsid w:val="6C122D8D"/>
    <w:rsid w:val="6C29554A"/>
    <w:rsid w:val="6CFF56E3"/>
    <w:rsid w:val="6E2A73A3"/>
    <w:rsid w:val="6E32509B"/>
    <w:rsid w:val="6EAD3061"/>
    <w:rsid w:val="6EF763C9"/>
    <w:rsid w:val="6F021BA3"/>
    <w:rsid w:val="6F0312AE"/>
    <w:rsid w:val="6F1B6955"/>
    <w:rsid w:val="6F347082"/>
    <w:rsid w:val="6FA66023"/>
    <w:rsid w:val="6FA73134"/>
    <w:rsid w:val="6FB11D6D"/>
    <w:rsid w:val="6FB3197B"/>
    <w:rsid w:val="6FFE4222"/>
    <w:rsid w:val="70206203"/>
    <w:rsid w:val="706E7C66"/>
    <w:rsid w:val="70A52885"/>
    <w:rsid w:val="719B2F11"/>
    <w:rsid w:val="71D01EC0"/>
    <w:rsid w:val="72652BB9"/>
    <w:rsid w:val="727B1250"/>
    <w:rsid w:val="72BA5238"/>
    <w:rsid w:val="72F935F4"/>
    <w:rsid w:val="7373296F"/>
    <w:rsid w:val="73E16C6C"/>
    <w:rsid w:val="73FFE936"/>
    <w:rsid w:val="745A5D8C"/>
    <w:rsid w:val="74961BD4"/>
    <w:rsid w:val="75823E82"/>
    <w:rsid w:val="75B7704F"/>
    <w:rsid w:val="75F68027"/>
    <w:rsid w:val="75FD0E29"/>
    <w:rsid w:val="76AF1F2A"/>
    <w:rsid w:val="76C87037"/>
    <w:rsid w:val="76D047B8"/>
    <w:rsid w:val="76DE028D"/>
    <w:rsid w:val="76ED7153"/>
    <w:rsid w:val="76F05CA2"/>
    <w:rsid w:val="76F507BA"/>
    <w:rsid w:val="770C0E05"/>
    <w:rsid w:val="77B7EA5E"/>
    <w:rsid w:val="77BF4FA9"/>
    <w:rsid w:val="77BFB64D"/>
    <w:rsid w:val="77C5C02B"/>
    <w:rsid w:val="77D16EA3"/>
    <w:rsid w:val="77EB720C"/>
    <w:rsid w:val="77F40C8C"/>
    <w:rsid w:val="77FB9B88"/>
    <w:rsid w:val="77FF87AB"/>
    <w:rsid w:val="789F2464"/>
    <w:rsid w:val="78C43EAD"/>
    <w:rsid w:val="78D863D1"/>
    <w:rsid w:val="78FB261B"/>
    <w:rsid w:val="79D6E496"/>
    <w:rsid w:val="79F71F81"/>
    <w:rsid w:val="79F7F953"/>
    <w:rsid w:val="7A8D479E"/>
    <w:rsid w:val="7AAAAEEA"/>
    <w:rsid w:val="7AE84DD2"/>
    <w:rsid w:val="7B4FEC77"/>
    <w:rsid w:val="7B51606E"/>
    <w:rsid w:val="7B7FA3C1"/>
    <w:rsid w:val="7BB1478B"/>
    <w:rsid w:val="7BB54D4E"/>
    <w:rsid w:val="7BCB288C"/>
    <w:rsid w:val="7BCF5A54"/>
    <w:rsid w:val="7BDD1C74"/>
    <w:rsid w:val="7BEA873F"/>
    <w:rsid w:val="7BF728D3"/>
    <w:rsid w:val="7BF7F92A"/>
    <w:rsid w:val="7BFF28C2"/>
    <w:rsid w:val="7C744B64"/>
    <w:rsid w:val="7C7DA0C1"/>
    <w:rsid w:val="7CD629F3"/>
    <w:rsid w:val="7CFFD175"/>
    <w:rsid w:val="7D7FDE24"/>
    <w:rsid w:val="7D8A16F2"/>
    <w:rsid w:val="7DAB7150"/>
    <w:rsid w:val="7DBFC919"/>
    <w:rsid w:val="7DF437CA"/>
    <w:rsid w:val="7DF6581C"/>
    <w:rsid w:val="7DF7FCAB"/>
    <w:rsid w:val="7DFF22AE"/>
    <w:rsid w:val="7E1475D4"/>
    <w:rsid w:val="7E545290"/>
    <w:rsid w:val="7E868991"/>
    <w:rsid w:val="7E988B4C"/>
    <w:rsid w:val="7EA65BD8"/>
    <w:rsid w:val="7EAE3955"/>
    <w:rsid w:val="7EB5A3F1"/>
    <w:rsid w:val="7EC62889"/>
    <w:rsid w:val="7ED9A838"/>
    <w:rsid w:val="7EE7F7D4"/>
    <w:rsid w:val="7F3667BE"/>
    <w:rsid w:val="7F3A4F04"/>
    <w:rsid w:val="7F654D11"/>
    <w:rsid w:val="7F6FADD1"/>
    <w:rsid w:val="7F77C600"/>
    <w:rsid w:val="7F7F45A2"/>
    <w:rsid w:val="7F8C70E2"/>
    <w:rsid w:val="7F9D22EF"/>
    <w:rsid w:val="7FA3DA5F"/>
    <w:rsid w:val="7FBD539F"/>
    <w:rsid w:val="7FBF3A90"/>
    <w:rsid w:val="7FBFE854"/>
    <w:rsid w:val="7FEEE699"/>
    <w:rsid w:val="7FEF3422"/>
    <w:rsid w:val="7FFACBFD"/>
    <w:rsid w:val="7FFB1D0C"/>
    <w:rsid w:val="7FFF6DF6"/>
    <w:rsid w:val="7FFFCDE6"/>
    <w:rsid w:val="84C7D8A5"/>
    <w:rsid w:val="8D9FAAFE"/>
    <w:rsid w:val="8F3F2ED2"/>
    <w:rsid w:val="977EE4BD"/>
    <w:rsid w:val="97B7AD9D"/>
    <w:rsid w:val="9B7C8362"/>
    <w:rsid w:val="9BFF58B2"/>
    <w:rsid w:val="9DFFF3BC"/>
    <w:rsid w:val="9FC31C5C"/>
    <w:rsid w:val="9FF46FCE"/>
    <w:rsid w:val="A1F7AF80"/>
    <w:rsid w:val="A5FDF063"/>
    <w:rsid w:val="A7CB0238"/>
    <w:rsid w:val="A8FF677A"/>
    <w:rsid w:val="A9DFD072"/>
    <w:rsid w:val="AAFD93C6"/>
    <w:rsid w:val="ACEFB407"/>
    <w:rsid w:val="ADFFC633"/>
    <w:rsid w:val="AE299F11"/>
    <w:rsid w:val="AE73F9E2"/>
    <w:rsid w:val="AEFC4C5C"/>
    <w:rsid w:val="B6BEB5D0"/>
    <w:rsid w:val="B76F328D"/>
    <w:rsid w:val="B77E0C3F"/>
    <w:rsid w:val="B7BD3477"/>
    <w:rsid w:val="B7D9065E"/>
    <w:rsid w:val="B9BECF07"/>
    <w:rsid w:val="BAF2E1F2"/>
    <w:rsid w:val="BBBBC273"/>
    <w:rsid w:val="BBDFC61B"/>
    <w:rsid w:val="BD7C9A97"/>
    <w:rsid w:val="BD8FC5E1"/>
    <w:rsid w:val="BE07045B"/>
    <w:rsid w:val="BE7F727B"/>
    <w:rsid w:val="BEBCA15B"/>
    <w:rsid w:val="BEF246A3"/>
    <w:rsid w:val="BEFE7FF8"/>
    <w:rsid w:val="BEFFA282"/>
    <w:rsid w:val="BF5EF92A"/>
    <w:rsid w:val="BF7731A3"/>
    <w:rsid w:val="BF7D3A4F"/>
    <w:rsid w:val="BFBED383"/>
    <w:rsid w:val="BFEF9298"/>
    <w:rsid w:val="BFF549EB"/>
    <w:rsid w:val="C5F166A6"/>
    <w:rsid w:val="C7BA15B1"/>
    <w:rsid w:val="C87CE635"/>
    <w:rsid w:val="C8FF8B3B"/>
    <w:rsid w:val="CEBB3A11"/>
    <w:rsid w:val="CF77A831"/>
    <w:rsid w:val="CFF15D60"/>
    <w:rsid w:val="CFF7C823"/>
    <w:rsid w:val="D1CFE809"/>
    <w:rsid w:val="D4DA255B"/>
    <w:rsid w:val="D5E7047F"/>
    <w:rsid w:val="D5EFA79D"/>
    <w:rsid w:val="D7FEAF1B"/>
    <w:rsid w:val="D89FED72"/>
    <w:rsid w:val="DA2E2154"/>
    <w:rsid w:val="DA3DEFB6"/>
    <w:rsid w:val="DADFD5D5"/>
    <w:rsid w:val="DBDCAA73"/>
    <w:rsid w:val="DBFBE6C9"/>
    <w:rsid w:val="DBFF973E"/>
    <w:rsid w:val="DD3FDF6D"/>
    <w:rsid w:val="DD6B88E6"/>
    <w:rsid w:val="DDCAAE15"/>
    <w:rsid w:val="DDEFC9C3"/>
    <w:rsid w:val="DDFEC403"/>
    <w:rsid w:val="DEDD1465"/>
    <w:rsid w:val="DF61C617"/>
    <w:rsid w:val="DF77A53F"/>
    <w:rsid w:val="DF97F74E"/>
    <w:rsid w:val="DFEF9C77"/>
    <w:rsid w:val="E6F613AA"/>
    <w:rsid w:val="E78FE202"/>
    <w:rsid w:val="E8FDEAA2"/>
    <w:rsid w:val="EB8377F2"/>
    <w:rsid w:val="EBE218F1"/>
    <w:rsid w:val="EBFF547F"/>
    <w:rsid w:val="ED3ED0C5"/>
    <w:rsid w:val="EDFA0159"/>
    <w:rsid w:val="EDFB0D22"/>
    <w:rsid w:val="EF76FB0D"/>
    <w:rsid w:val="EF8FE291"/>
    <w:rsid w:val="EFBF7CB2"/>
    <w:rsid w:val="EFDC9350"/>
    <w:rsid w:val="EFFEEE2A"/>
    <w:rsid w:val="EFFF243F"/>
    <w:rsid w:val="F36E6BC7"/>
    <w:rsid w:val="F3DEFCA5"/>
    <w:rsid w:val="F3EF70CD"/>
    <w:rsid w:val="F3FFD3F8"/>
    <w:rsid w:val="F55FCE0C"/>
    <w:rsid w:val="F5FE9FFA"/>
    <w:rsid w:val="F6FFCF10"/>
    <w:rsid w:val="F7B75FAF"/>
    <w:rsid w:val="F7BF5F61"/>
    <w:rsid w:val="F7BF8B11"/>
    <w:rsid w:val="F7CFC56C"/>
    <w:rsid w:val="F7F3882F"/>
    <w:rsid w:val="F7F396D9"/>
    <w:rsid w:val="F7F76B6C"/>
    <w:rsid w:val="F7FB13A8"/>
    <w:rsid w:val="F7FE3C44"/>
    <w:rsid w:val="F7FF7A5B"/>
    <w:rsid w:val="F7FF8DE3"/>
    <w:rsid w:val="F97E534E"/>
    <w:rsid w:val="F9A9A071"/>
    <w:rsid w:val="F9FF02BF"/>
    <w:rsid w:val="FAFD03DF"/>
    <w:rsid w:val="FAFDE229"/>
    <w:rsid w:val="FAFF39D5"/>
    <w:rsid w:val="FBBF15ED"/>
    <w:rsid w:val="FBD8E88A"/>
    <w:rsid w:val="FBEB5EC9"/>
    <w:rsid w:val="FBEFA811"/>
    <w:rsid w:val="FBFD624A"/>
    <w:rsid w:val="FBFF054E"/>
    <w:rsid w:val="FCF77402"/>
    <w:rsid w:val="FD7F8DD0"/>
    <w:rsid w:val="FD8F9990"/>
    <w:rsid w:val="FDDD1E5F"/>
    <w:rsid w:val="FDE78880"/>
    <w:rsid w:val="FDFE0069"/>
    <w:rsid w:val="FDFF3E09"/>
    <w:rsid w:val="FDFFE727"/>
    <w:rsid w:val="FEBD40BD"/>
    <w:rsid w:val="FEDF7C00"/>
    <w:rsid w:val="FF3BC5E2"/>
    <w:rsid w:val="FF3ECEA8"/>
    <w:rsid w:val="FF3FF087"/>
    <w:rsid w:val="FF435FA0"/>
    <w:rsid w:val="FF5FCC03"/>
    <w:rsid w:val="FF6F3636"/>
    <w:rsid w:val="FF7BB4C6"/>
    <w:rsid w:val="FF7F5147"/>
    <w:rsid w:val="FFAE540C"/>
    <w:rsid w:val="FFB3AFC8"/>
    <w:rsid w:val="FFB48056"/>
    <w:rsid w:val="FFBD2CEF"/>
    <w:rsid w:val="FFBE0827"/>
    <w:rsid w:val="FFBFDAA4"/>
    <w:rsid w:val="FFC41B76"/>
    <w:rsid w:val="FFC70DDA"/>
    <w:rsid w:val="FFCB23C8"/>
    <w:rsid w:val="FFD69094"/>
    <w:rsid w:val="FFD96887"/>
    <w:rsid w:val="FFDB9C94"/>
    <w:rsid w:val="FFDF7A75"/>
    <w:rsid w:val="FFED4DA5"/>
    <w:rsid w:val="FFEEEE8B"/>
    <w:rsid w:val="FFEF2583"/>
    <w:rsid w:val="FFF6373A"/>
    <w:rsid w:val="FFF720DE"/>
    <w:rsid w:val="FFF752CC"/>
    <w:rsid w:val="FFF92417"/>
    <w:rsid w:val="FFFBD9F1"/>
    <w:rsid w:val="FFFEDAAC"/>
    <w:rsid w:val="FFFF7343"/>
    <w:rsid w:val="FFFFAB92"/>
    <w:rsid w:val="FFFFDA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9">
    <w:name w:val="Default Paragraph Font"/>
    <w:qFormat/>
    <w:uiPriority w:val="0"/>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qFormat/>
    <w:uiPriority w:val="1"/>
    <w:pPr>
      <w:autoSpaceDE w:val="0"/>
      <w:autoSpaceDN w:val="0"/>
      <w:ind w:left="111"/>
      <w:jc w:val="left"/>
    </w:pPr>
    <w:rPr>
      <w:rFonts w:ascii="宋体" w:hAnsi="宋体" w:cs="宋体"/>
      <w:kern w:val="0"/>
      <w:sz w:val="32"/>
      <w:szCs w:val="32"/>
      <w:lang w:val="zh-CN" w:bidi="zh-CN"/>
    </w:rPr>
  </w:style>
  <w:style w:type="paragraph" w:styleId="3">
    <w:name w:val="Plain Text"/>
    <w:basedOn w:val="1"/>
    <w:qFormat/>
    <w:uiPriority w:val="99"/>
    <w:pPr>
      <w:widowControl w:val="0"/>
      <w:overflowPunct w:val="0"/>
      <w:topLinePunct/>
      <w:spacing w:line="240" w:lineRule="auto"/>
      <w:jc w:val="both"/>
    </w:pPr>
    <w:rPr>
      <w:rFonts w:ascii="宋体" w:hAnsi="Courier New" w:eastAsia="仿宋_GB2312" w:cs="宋体"/>
      <w:spacing w:val="0"/>
      <w:kern w:val="2"/>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unhideWhenUsed/>
    <w:qFormat/>
    <w:uiPriority w:val="9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公文标题 2"/>
    <w:qFormat/>
    <w:uiPriority w:val="0"/>
    <w:pPr>
      <w:widowControl w:val="0"/>
      <w:numPr>
        <w:ilvl w:val="1"/>
        <w:numId w:val="1"/>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 w:type="paragraph" w:customStyle="1" w:styleId="12">
    <w:name w:val="公文标题 4"/>
    <w:qFormat/>
    <w:uiPriority w:val="0"/>
    <w:pPr>
      <w:widowControl w:val="0"/>
      <w:numPr>
        <w:ilvl w:val="3"/>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3">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4">
    <w:name w:val="公文标题 3"/>
    <w:qFormat/>
    <w:uiPriority w:val="0"/>
    <w:pPr>
      <w:widowControl w:val="0"/>
      <w:numPr>
        <w:ilvl w:val="2"/>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C:\home\oa\.local\share\Kingsoft\office6\templates\officialtemplate\&#24635;&#23616;&#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总局文件模板.dotx</Template>
  <Pages>3</Pages>
  <Words>2921</Words>
  <Characters>3010</Characters>
  <Lines>6</Lines>
  <Paragraphs>1</Paragraphs>
  <TotalTime>11.6666666666667</TotalTime>
  <ScaleCrop>false</ScaleCrop>
  <LinksUpToDate>false</LinksUpToDate>
  <CharactersWithSpaces>3061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2021-09-27T08:44:00Z</dcterms:created>
  <dc:creator>oa</dc:creator>
  <cp:lastModifiedBy>玉洁</cp:lastModifiedBy>
  <cp:lastPrinted>2025-01-17T02:30:53Z</cp:lastPrinted>
  <dcterms:modified xsi:type="dcterms:W3CDTF">2025-02-18T02:26:37Z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87ABE9DC74A445EB98449A7E040C8CCB_13</vt:lpwstr>
  </property>
</Properties>
</file>